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9F462" w14:textId="77777777" w:rsidR="00257345" w:rsidRDefault="00257345" w:rsidP="00257345">
      <w:pPr>
        <w:pStyle w:val="Heading2"/>
        <w:ind w:leftChars="-100" w:left="-220"/>
        <w:jc w:val="center"/>
        <w:rPr>
          <w:sz w:val="26"/>
          <w:szCs w:val="26"/>
        </w:rPr>
      </w:pPr>
      <w:r>
        <w:rPr>
          <w:sz w:val="26"/>
          <w:szCs w:val="26"/>
        </w:rPr>
        <w:t>GIỚI THIỆU MỘT SỐ PHƯƠNG PHÁP ĐÀO TẠO THEO</w:t>
      </w:r>
    </w:p>
    <w:p w14:paraId="3E910B46" w14:textId="77777777" w:rsidR="00257345" w:rsidRDefault="00257345" w:rsidP="00257345">
      <w:pPr>
        <w:pStyle w:val="Heading2"/>
        <w:ind w:leftChars="-100" w:left="-220"/>
        <w:jc w:val="center"/>
        <w:rPr>
          <w:rFonts w:eastAsia="Calibri"/>
          <w:sz w:val="26"/>
          <w:szCs w:val="26"/>
        </w:rPr>
      </w:pPr>
      <w:r>
        <w:rPr>
          <w:sz w:val="26"/>
          <w:szCs w:val="26"/>
        </w:rPr>
        <w:t xml:space="preserve"> TIẾP CẬN NĂNG LỰC CỦA SINH VIÊN</w:t>
      </w:r>
    </w:p>
    <w:p w14:paraId="5D6A54B2" w14:textId="77777777" w:rsidR="00257345" w:rsidRDefault="00257345" w:rsidP="00257345">
      <w:pPr>
        <w:widowControl/>
        <w:autoSpaceDE/>
        <w:autoSpaceDN/>
        <w:jc w:val="center"/>
        <w:rPr>
          <w:rFonts w:eastAsia="Calibri"/>
          <w:bCs/>
          <w:sz w:val="26"/>
          <w:szCs w:val="26"/>
          <w:lang w:val="en-US"/>
        </w:rPr>
      </w:pPr>
      <w:r>
        <w:rPr>
          <w:rFonts w:eastAsia="Calibri"/>
          <w:bCs/>
          <w:sz w:val="26"/>
          <w:szCs w:val="26"/>
          <w:lang w:val="en-US"/>
        </w:rPr>
        <w:t>INTRODUCE SOME METHODS TO COMPETENCY-BASED EDUCATION</w:t>
      </w:r>
    </w:p>
    <w:p w14:paraId="53400974" w14:textId="77777777" w:rsidR="00257345" w:rsidRDefault="00257345" w:rsidP="00257345">
      <w:pPr>
        <w:widowControl/>
        <w:autoSpaceDE/>
        <w:autoSpaceDN/>
        <w:jc w:val="center"/>
        <w:rPr>
          <w:rFonts w:eastAsia="Calibri"/>
          <w:b/>
          <w:sz w:val="26"/>
          <w:szCs w:val="26"/>
          <w:lang w:val="en-US"/>
        </w:rPr>
      </w:pPr>
    </w:p>
    <w:tbl>
      <w:tblPr>
        <w:tblStyle w:val="TableGrid"/>
        <w:tblW w:w="0" w:type="auto"/>
        <w:tblLook w:val="04A0" w:firstRow="1" w:lastRow="0" w:firstColumn="1" w:lastColumn="0" w:noHBand="0" w:noVBand="1"/>
      </w:tblPr>
      <w:tblGrid>
        <w:gridCol w:w="3261"/>
        <w:gridCol w:w="5670"/>
      </w:tblGrid>
      <w:tr w:rsidR="00257345" w14:paraId="27AB01DA" w14:textId="77777777" w:rsidTr="00781926">
        <w:tc>
          <w:tcPr>
            <w:tcW w:w="3261" w:type="dxa"/>
            <w:tcBorders>
              <w:top w:val="nil"/>
              <w:left w:val="nil"/>
              <w:bottom w:val="nil"/>
              <w:right w:val="nil"/>
            </w:tcBorders>
          </w:tcPr>
          <w:p w14:paraId="5AB78A58" w14:textId="77777777" w:rsidR="00257345" w:rsidRDefault="00257345" w:rsidP="00781926">
            <w:pPr>
              <w:widowControl/>
              <w:autoSpaceDE/>
              <w:autoSpaceDN/>
              <w:rPr>
                <w:rFonts w:eastAsia="Calibri"/>
                <w:b/>
                <w:sz w:val="21"/>
                <w:szCs w:val="21"/>
                <w:lang w:val="en-US"/>
              </w:rPr>
            </w:pPr>
            <w:r>
              <w:rPr>
                <w:rFonts w:eastAsia="Calibri"/>
                <w:b/>
                <w:sz w:val="21"/>
                <w:szCs w:val="21"/>
                <w:lang w:val="en-US"/>
              </w:rPr>
              <w:t>Bùi Anh Tuấn</w:t>
            </w:r>
          </w:p>
        </w:tc>
        <w:tc>
          <w:tcPr>
            <w:tcW w:w="5670" w:type="dxa"/>
            <w:tcBorders>
              <w:top w:val="nil"/>
              <w:left w:val="nil"/>
              <w:bottom w:val="nil"/>
              <w:right w:val="nil"/>
            </w:tcBorders>
          </w:tcPr>
          <w:p w14:paraId="4E433EB0" w14:textId="77777777" w:rsidR="00257345" w:rsidRDefault="00257345" w:rsidP="00781926">
            <w:pPr>
              <w:widowControl/>
              <w:autoSpaceDE/>
              <w:autoSpaceDN/>
              <w:rPr>
                <w:rFonts w:eastAsia="Calibri"/>
                <w:sz w:val="21"/>
                <w:szCs w:val="21"/>
                <w:lang w:val="en-US"/>
              </w:rPr>
            </w:pPr>
            <w:r>
              <w:rPr>
                <w:rFonts w:eastAsia="Calibri"/>
                <w:sz w:val="21"/>
                <w:szCs w:val="21"/>
                <w:lang w:val="en-US"/>
              </w:rPr>
              <w:t>Trường Cao đẳng Lý Tự Trọng TP. HCM;</w:t>
            </w:r>
          </w:p>
          <w:p w14:paraId="04C8D549" w14:textId="77777777" w:rsidR="00257345" w:rsidRDefault="00257345" w:rsidP="00781926">
            <w:pPr>
              <w:widowControl/>
              <w:autoSpaceDE/>
              <w:autoSpaceDN/>
              <w:rPr>
                <w:rFonts w:eastAsia="Calibri"/>
                <w:i/>
                <w:sz w:val="21"/>
                <w:szCs w:val="21"/>
                <w:lang w:val="en-US"/>
              </w:rPr>
            </w:pPr>
            <w:r>
              <w:rPr>
                <w:rFonts w:eastAsia="Calibri"/>
                <w:i/>
                <w:sz w:val="21"/>
                <w:szCs w:val="21"/>
                <w:lang w:val="en-US"/>
              </w:rPr>
              <w:t>Email: buianhtuan@lttc.edu.vn</w:t>
            </w:r>
          </w:p>
        </w:tc>
      </w:tr>
    </w:tbl>
    <w:p w14:paraId="6672C1BD" w14:textId="77777777" w:rsidR="00257345" w:rsidRDefault="00257345" w:rsidP="00257345">
      <w:pPr>
        <w:widowControl/>
        <w:autoSpaceDE/>
        <w:autoSpaceDN/>
        <w:spacing w:after="160" w:line="259" w:lineRule="auto"/>
        <w:rPr>
          <w:rFonts w:eastAsia="Calibri"/>
          <w:b/>
          <w:sz w:val="21"/>
          <w:szCs w:val="21"/>
          <w:lang w:val="en-US"/>
        </w:rPr>
      </w:pPr>
    </w:p>
    <w:tbl>
      <w:tblPr>
        <w:tblStyle w:val="TableGrid"/>
        <w:tblW w:w="0" w:type="auto"/>
        <w:tblLook w:val="04A0" w:firstRow="1" w:lastRow="0" w:firstColumn="1" w:lastColumn="0" w:noHBand="0" w:noVBand="1"/>
      </w:tblPr>
      <w:tblGrid>
        <w:gridCol w:w="3261"/>
        <w:gridCol w:w="5670"/>
      </w:tblGrid>
      <w:tr w:rsidR="00257345" w14:paraId="61030B1C" w14:textId="77777777" w:rsidTr="00781926">
        <w:tc>
          <w:tcPr>
            <w:tcW w:w="3261" w:type="dxa"/>
            <w:tcBorders>
              <w:top w:val="nil"/>
              <w:left w:val="nil"/>
              <w:bottom w:val="nil"/>
              <w:right w:val="single" w:sz="24" w:space="0" w:color="auto"/>
            </w:tcBorders>
            <w:shd w:val="clear" w:color="auto" w:fill="auto"/>
          </w:tcPr>
          <w:p w14:paraId="5B7F5CAE" w14:textId="77777777" w:rsidR="00257345" w:rsidRDefault="00257345" w:rsidP="00781926">
            <w:pPr>
              <w:widowControl/>
              <w:autoSpaceDE/>
              <w:autoSpaceDN/>
              <w:rPr>
                <w:rFonts w:eastAsia="Calibri"/>
                <w:sz w:val="21"/>
                <w:szCs w:val="21"/>
                <w:lang w:val="en-US"/>
              </w:rPr>
            </w:pPr>
            <w:r>
              <w:rPr>
                <w:rFonts w:eastAsia="Calibri"/>
                <w:b/>
                <w:sz w:val="21"/>
                <w:szCs w:val="21"/>
                <w:lang w:val="en-US"/>
              </w:rPr>
              <w:t>Keywords:</w:t>
            </w:r>
            <w:r>
              <w:rPr>
                <w:rFonts w:eastAsia="Calibri"/>
                <w:sz w:val="21"/>
                <w:szCs w:val="21"/>
                <w:lang w:val="en-US"/>
              </w:rPr>
              <w:t xml:space="preserve"> industry 4.0, competency-based education, student, lecturer</w:t>
            </w:r>
          </w:p>
        </w:tc>
        <w:tc>
          <w:tcPr>
            <w:tcW w:w="5670" w:type="dxa"/>
            <w:tcBorders>
              <w:top w:val="nil"/>
              <w:left w:val="single" w:sz="24" w:space="0" w:color="auto"/>
              <w:bottom w:val="nil"/>
              <w:right w:val="nil"/>
            </w:tcBorders>
            <w:shd w:val="clear" w:color="auto" w:fill="BFBFBF" w:themeFill="background1" w:themeFillShade="BF"/>
          </w:tcPr>
          <w:p w14:paraId="40136411"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TÓM TẮT:</w:t>
            </w:r>
          </w:p>
          <w:p w14:paraId="42F2A662"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 xml:space="preserve">Bối cảnh: </w:t>
            </w:r>
            <w:r>
              <w:rPr>
                <w:rFonts w:eastAsia="Calibri"/>
                <w:sz w:val="21"/>
                <w:szCs w:val="21"/>
                <w:lang w:val="en-US"/>
              </w:rPr>
              <w:t>Trong bối cảnh cách mạng công nghiệp 4.0, mọi sự chuyển biến đều diễn ra mạnh mẽ, giáo dục cũng có những bước chuyển mình, người học đã khác trước và vì thế người thầy cũng phải thay đổi phương pháp giảng dạy cho phù hợp với những vận động của người học trong thời đại mới.</w:t>
            </w:r>
          </w:p>
          <w:p w14:paraId="71E5DF01"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 xml:space="preserve">Kết quả: </w:t>
            </w:r>
            <w:r>
              <w:rPr>
                <w:rFonts w:eastAsia="Calibri"/>
                <w:sz w:val="21"/>
                <w:szCs w:val="21"/>
                <w:lang w:val="en-US"/>
              </w:rPr>
              <w:t>Bài báo này bao gồm 2 mục tiêu chính. Mục tiêu thứ nhất là giới thiệu về quá trình đào tạo theo tiếp cận năng lực. Mục tiêu thứ hai giới thiệu các phương pháp giảng dạy phù hợp với quá trình dạy học theo tiếp cận năng lực. Bài báo còn giúp người đọc có cái nhìn mới về các phương pháp giảng dạy đang được áp dụng hiện nay tại một số trường Đại học danh tiếng trên thế giới.</w:t>
            </w:r>
          </w:p>
          <w:p w14:paraId="1AA92EAA"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 xml:space="preserve">Bàn luận: </w:t>
            </w:r>
            <w:r>
              <w:rPr>
                <w:rFonts w:eastAsia="Calibri"/>
                <w:sz w:val="21"/>
                <w:szCs w:val="21"/>
                <w:lang w:val="en-US"/>
              </w:rPr>
              <w:t>Có nhiều phương pháp dạy học theo tiếp cận năng lực hiện đại, lựa chọn phương pháp nào phụ thuộc vào quan điểm riêng của giảng viên và đối tượng người học</w:t>
            </w:r>
          </w:p>
          <w:p w14:paraId="676FE8A0"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ABSTRACT:</w:t>
            </w:r>
          </w:p>
          <w:p w14:paraId="4B3C3D28" w14:textId="77777777" w:rsidR="00257345" w:rsidRDefault="00257345" w:rsidP="00781926">
            <w:pPr>
              <w:widowControl/>
              <w:autoSpaceDE/>
              <w:autoSpaceDN/>
              <w:jc w:val="both"/>
              <w:rPr>
                <w:rFonts w:eastAsia="Calibri"/>
                <w:sz w:val="21"/>
                <w:szCs w:val="21"/>
                <w:lang w:val="en-US"/>
              </w:rPr>
            </w:pPr>
            <w:r>
              <w:rPr>
                <w:rFonts w:eastAsia="Calibri"/>
                <w:b/>
                <w:sz w:val="21"/>
                <w:szCs w:val="21"/>
                <w:lang w:val="en-US"/>
              </w:rPr>
              <w:t>Context:</w:t>
            </w:r>
            <w:r>
              <w:rPr>
                <w:rFonts w:eastAsia="Calibri"/>
                <w:sz w:val="21"/>
                <w:szCs w:val="21"/>
                <w:lang w:val="en-US"/>
              </w:rPr>
              <w:t xml:space="preserve"> In the industrial revolution 4.0 epoch, all changes are created strongly, education also has transformation. Students are different from before and so Lecturers also have to change teaching methods to suit the movements of learners in the new era.</w:t>
            </w:r>
          </w:p>
        </w:tc>
      </w:tr>
      <w:tr w:rsidR="00257345" w14:paraId="2A63043A" w14:textId="77777777" w:rsidTr="00781926">
        <w:tc>
          <w:tcPr>
            <w:tcW w:w="3261" w:type="dxa"/>
            <w:tcBorders>
              <w:top w:val="nil"/>
              <w:left w:val="nil"/>
              <w:bottom w:val="nil"/>
              <w:right w:val="single" w:sz="24" w:space="0" w:color="auto"/>
            </w:tcBorders>
            <w:shd w:val="clear" w:color="auto" w:fill="auto"/>
          </w:tcPr>
          <w:p w14:paraId="4CCE1A5F" w14:textId="77777777" w:rsidR="00257345" w:rsidRDefault="00257345" w:rsidP="00781926">
            <w:pPr>
              <w:widowControl/>
              <w:autoSpaceDE/>
              <w:autoSpaceDN/>
              <w:jc w:val="both"/>
              <w:rPr>
                <w:rFonts w:eastAsia="Calibri"/>
                <w:sz w:val="21"/>
                <w:szCs w:val="21"/>
                <w:lang w:val="en-US"/>
              </w:rPr>
            </w:pPr>
          </w:p>
        </w:tc>
        <w:tc>
          <w:tcPr>
            <w:tcW w:w="5670" w:type="dxa"/>
            <w:tcBorders>
              <w:top w:val="nil"/>
              <w:left w:val="single" w:sz="24" w:space="0" w:color="auto"/>
              <w:bottom w:val="nil"/>
              <w:right w:val="nil"/>
            </w:tcBorders>
            <w:shd w:val="clear" w:color="auto" w:fill="BFBFBF" w:themeFill="background1" w:themeFillShade="BF"/>
          </w:tcPr>
          <w:p w14:paraId="19D68941" w14:textId="77777777" w:rsidR="00257345" w:rsidRDefault="00257345" w:rsidP="00781926">
            <w:pPr>
              <w:widowControl/>
              <w:autoSpaceDE/>
              <w:autoSpaceDN/>
              <w:jc w:val="both"/>
              <w:rPr>
                <w:rFonts w:eastAsia="Calibri"/>
                <w:sz w:val="21"/>
                <w:szCs w:val="21"/>
                <w:lang w:val="en-US"/>
              </w:rPr>
            </w:pPr>
            <w:r>
              <w:rPr>
                <w:rFonts w:eastAsia="Calibri"/>
                <w:b/>
                <w:sz w:val="21"/>
                <w:szCs w:val="21"/>
                <w:lang w:val="en-US"/>
              </w:rPr>
              <w:t>Results:</w:t>
            </w:r>
            <w:r>
              <w:rPr>
                <w:rFonts w:eastAsia="Calibri"/>
                <w:sz w:val="21"/>
                <w:szCs w:val="21"/>
                <w:lang w:val="en-US"/>
              </w:rPr>
              <w:t xml:space="preserve"> This study has two main objectives. Firstly to present a competency-based education process. Secondly to report some appropriate methods to compency-based teaching and applied procedure in famous university in the world.</w:t>
            </w:r>
          </w:p>
          <w:p w14:paraId="565C34D0" w14:textId="77777777" w:rsidR="00257345" w:rsidRDefault="00257345" w:rsidP="00781926">
            <w:pPr>
              <w:widowControl/>
              <w:autoSpaceDE/>
              <w:autoSpaceDN/>
              <w:jc w:val="both"/>
              <w:rPr>
                <w:rFonts w:eastAsia="Calibri"/>
                <w:b/>
                <w:sz w:val="21"/>
                <w:szCs w:val="21"/>
                <w:lang w:val="en-US"/>
              </w:rPr>
            </w:pPr>
            <w:r>
              <w:rPr>
                <w:rFonts w:eastAsia="Calibri"/>
                <w:b/>
                <w:sz w:val="21"/>
                <w:szCs w:val="21"/>
                <w:lang w:val="en-US"/>
              </w:rPr>
              <w:t xml:space="preserve">Discussion: </w:t>
            </w:r>
            <w:r>
              <w:rPr>
                <w:rFonts w:eastAsia="Calibri"/>
                <w:sz w:val="21"/>
                <w:szCs w:val="21"/>
                <w:lang w:val="en-US"/>
              </w:rPr>
              <w:t>There are many modern teaching methods to competency-based education, the choice depends on the individual views of the lecturer and the specific student.</w:t>
            </w:r>
          </w:p>
        </w:tc>
      </w:tr>
    </w:tbl>
    <w:p w14:paraId="33A5F7CB" w14:textId="77777777" w:rsidR="00257345" w:rsidRDefault="00257345" w:rsidP="00257345">
      <w:pPr>
        <w:widowControl/>
        <w:autoSpaceDE/>
        <w:autoSpaceDN/>
        <w:spacing w:after="160" w:line="259" w:lineRule="auto"/>
        <w:jc w:val="both"/>
        <w:rPr>
          <w:rFonts w:eastAsia="Calibri"/>
          <w:sz w:val="21"/>
          <w:szCs w:val="21"/>
          <w:lang w:val="en-US"/>
        </w:rPr>
      </w:pPr>
    </w:p>
    <w:p w14:paraId="011FEE9B" w14:textId="77777777" w:rsidR="00257345" w:rsidRDefault="00257345" w:rsidP="00257345">
      <w:pPr>
        <w:widowControl/>
        <w:autoSpaceDE/>
        <w:autoSpaceDN/>
        <w:spacing w:after="160" w:line="259" w:lineRule="auto"/>
        <w:ind w:firstLine="284"/>
        <w:jc w:val="both"/>
        <w:rPr>
          <w:rFonts w:eastAsia="Calibri"/>
          <w:b/>
          <w:sz w:val="21"/>
          <w:szCs w:val="21"/>
          <w:lang w:val="en-US"/>
        </w:rPr>
      </w:pPr>
      <w:r>
        <w:rPr>
          <w:rFonts w:eastAsia="Calibri"/>
          <w:b/>
          <w:sz w:val="21"/>
          <w:szCs w:val="21"/>
          <w:lang w:val="en-US"/>
        </w:rPr>
        <w:t>1. Mở đầu</w:t>
      </w:r>
    </w:p>
    <w:p w14:paraId="41116B34"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xml:space="preserve">Trong bối cảnh thế giới đang chịu những ảnh hưởng nghiêm trọng của dịch bệnh Covid-19, các nước đang phải căng mình khắc phục những hậu quả nặng nề mà dịch bệnh mang đến, khiến các hệ thống kinh tế, chính trị, xã hội, giáo dục … đều bị ảnh hưởng. Song song với đó là cuộc Cách mạng công nghiệp 4.0 đang diễn ra mạnh mẽ cũng đã phần nào khắc phục và hỗ trợ các nước vượt qua những khó khăn và thách thức hiện nay. </w:t>
      </w:r>
    </w:p>
    <w:p w14:paraId="544A7AE3"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xml:space="preserve">Không nằm ngoài quy luật đó, ở nước ta, việc học tập tập trung tại các cơ sở giáo dục cũng đã chịu những tác động không nhỏ từ cấp học phổ thông cho đến đại học. Các mô hình giáo dục bắt đầu chuyển đổi từ đào tạo tập trung sang trực tuyến nhờ áp dụng những thành quả từ cuộc Cách mạng công nghiệp 4.0. Việc học tập và trao đổi kiến thức cho phù hợp với thời đại mới và làm giảm tác động của đại dịch là những ưu tiên trong những quyết sách hàng đầu cuả ngành giáo dục hiện nay. Việc chuyển đổi này không chỉ là đơn thuần chuyển đổi từ mô hình học tập này sang mô hình học tập khác mà thực tế phải là cách tiếp cận hoàn toàn mới về phương pháp giảng dạy và cách thức tổ chức lớp học. Làm thế nào để có thể vừa đảm bảo được việc chuyển đổi phù hợp vừa </w:t>
      </w:r>
      <w:r>
        <w:rPr>
          <w:rFonts w:eastAsia="Calibri"/>
          <w:sz w:val="21"/>
          <w:szCs w:val="21"/>
          <w:lang w:val="en-US"/>
        </w:rPr>
        <w:lastRenderedPageBreak/>
        <w:t>có thể đảm bảo được chất lượng đầu ra của người học là một thách thức không nhỏ đối với những người làm công tác giáo dục trong thời đại hiện nay. Bài báo này thảo luận về phương pháp dạy học theo năng lực, đồng thời cũng nêu ra các chiến lược nhằm thúc đẩy quá trình học tập dựa trên năng lực của người học.</w:t>
      </w:r>
    </w:p>
    <w:p w14:paraId="48594954"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xml:space="preserve">Giảng dạy và học tập trong bất kỳ chương trình giảng dạy nào đều đòi hỏi những mục tiêu chung, trách nhiệm chung và trách nhiệm chia sẻ giữa người dạy và người học. Trong đó, môi trường học tập hỗ trợ hoặc tạo điều kiện để tối đa hóa thành công trong học tập. Học tập hiệu quả là một quá trình lâu dài, đòi hỏi người học sau khi lĩnh hội có khả năng giải quyết các được tình huống mới, các yêu cầu khác nhau trong công việc. Học tập truyền thống được hiểu là học tập dựa trên các khung chương trình học tập và thời gian của khóa học đã được định sẵn, nơi thành tích được đánh giá bằng khả năng nhớ lại các điểm chính hoặc các thông tin đã được truyền đạt chi tiết. </w:t>
      </w:r>
    </w:p>
    <w:p w14:paraId="245F06D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Giáo dục dựa trên năng lực là một cuộc cải cách trong phương pháp giảng dạy. Theo đó, việc học được đánh giá tốt nhất thông qua việc sinh viên thể hiện khả năng học tập thành thạo, hơn là hoàn thành thời gian học trên lớp như cách học truyền thống. Bằng cách xây dựng lại môi trường giáo dục xung quanh người học, việc học tập thực tế của học sinh, phương pháp này sẽ trang bị cho mỗi sinh viên khả năng thích ứng và tồn tại trong nền kinh tế và môi trường ngày càng cạnh tranh trên toàn cầu hiện nay.</w:t>
      </w:r>
    </w:p>
    <w:p w14:paraId="6C953798"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Theo Viện Aurora (Hoa Kỳ), quá trình giáo dục dựa trên năng lực bao gồm những đặc điểm sau (Levine, E. &amp; Patrick, 2019):</w:t>
      </w:r>
    </w:p>
    <w:p w14:paraId="3382C0D9" w14:textId="77777777" w:rsidR="00257345" w:rsidRDefault="00257345" w:rsidP="00257345">
      <w:pPr>
        <w:numPr>
          <w:ilvl w:val="0"/>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Sinh viên được chủ động để đưa ra các quyết định quan trọng về trải nghiệm học tập của mình, cách sáng tạo và áp dụng kiến thức cũng như việc minh chứng quá trình học tập của mình.</w:t>
      </w:r>
    </w:p>
    <w:p w14:paraId="3A2D1DC6"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Việc đánh giá phải có ý nghĩa, tích cực và mang lại trải nghiệm học tập mạnh mẽ cho sinh viên, đồng thời cũng phải hiệu quả, kịp thời, phù hợp.</w:t>
      </w:r>
    </w:p>
    <w:p w14:paraId="6FDBFFB5"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Sinh viên nhận được sự hỗ trợ kịp thời, riêng biệt dựa trên nhu cầu học tập cá nhân của mình.</w:t>
      </w:r>
    </w:p>
    <w:p w14:paraId="65EDA73B"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Sự tiến bộ của sinh viên dựa trên việc thành thạo về kỹ năng chứ không phải thời gian ngồi trên ghế nhà trường.</w:t>
      </w:r>
    </w:p>
    <w:p w14:paraId="69357299"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Sinh viên được chủ động trong lộ trình và tiến độ học tập.</w:t>
      </w:r>
    </w:p>
    <w:p w14:paraId="427A5490"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Có các chiến lược đào tạo để đảm bảo tính công bằng cho tất cả sinh viên, chiến lược này phải gắn liền với văn hóa, cấu trúc và phương pháp sư phạm của các trường học và hệ thống giáo dục</w:t>
      </w:r>
    </w:p>
    <w:p w14:paraId="6A0AF140" w14:textId="77777777" w:rsidR="00257345" w:rsidRDefault="00257345" w:rsidP="00257345">
      <w:pPr>
        <w:numPr>
          <w:ilvl w:val="1"/>
          <w:numId w:val="1"/>
        </w:numPr>
        <w:spacing w:after="160" w:line="259" w:lineRule="auto"/>
        <w:ind w:left="0" w:firstLine="284"/>
        <w:contextualSpacing/>
        <w:jc w:val="both"/>
        <w:rPr>
          <w:rFonts w:eastAsia="Calibri"/>
          <w:sz w:val="21"/>
          <w:szCs w:val="21"/>
          <w:lang w:val="en-US"/>
        </w:rPr>
      </w:pPr>
      <w:r>
        <w:rPr>
          <w:rFonts w:eastAsia="Calibri"/>
          <w:sz w:val="21"/>
          <w:szCs w:val="21"/>
          <w:lang w:val="en-US"/>
        </w:rPr>
        <w:t xml:space="preserve"> Những yêu cầu phổ biến đối với việc học (kiến thức, kỹ năng và thái độ) phải rõ ràng, có thể đo lường và chuyển giao</w:t>
      </w:r>
    </w:p>
    <w:p w14:paraId="40D61564"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Giáo dục dựa trên năng lực là một sự thay đổi lớn trong văn hóa trường học, cấu trúc và phương pháp sư phạm tập trung vào việc đảm bảo rằng tất cả sinh viên đều thành công và giải quyết những thiếu sót cơ bản của mô hình học tập truyền thống. Các cơ sở giáo dục chuyển sang giáo dục dựa trên năng lực vì những lý do khác nhau: để giúp sinh viên học tập hiệu quả nhất, đạt được sự công bằng hơn, thúc đẩy việc học sâu hơn, hoặc để tạo ra một hệ thống cải tiến liên tục.</w:t>
      </w:r>
    </w:p>
    <w:p w14:paraId="6FFF81CE" w14:textId="77777777" w:rsidR="00257345" w:rsidRDefault="00257345" w:rsidP="00257345">
      <w:pPr>
        <w:widowControl/>
        <w:autoSpaceDE/>
        <w:autoSpaceDN/>
        <w:spacing w:after="160" w:line="259" w:lineRule="auto"/>
        <w:ind w:firstLine="284"/>
        <w:jc w:val="both"/>
        <w:rPr>
          <w:rFonts w:eastAsia="Calibri"/>
          <w:b/>
          <w:sz w:val="21"/>
          <w:szCs w:val="21"/>
          <w:lang w:val="en-US"/>
        </w:rPr>
      </w:pPr>
      <w:r>
        <w:rPr>
          <w:rFonts w:eastAsia="Calibri"/>
          <w:b/>
          <w:sz w:val="21"/>
          <w:szCs w:val="21"/>
          <w:lang w:val="en-US"/>
        </w:rPr>
        <w:t>2. Kết quả nghiên cứu</w:t>
      </w:r>
    </w:p>
    <w:p w14:paraId="3823ABEE"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Các chương trình giáo dục dựa trên năng lực được xây dựng từ ý tưởng đó là tập trung vào kết quả (những gì sinh viên biết và có thể làm) hơn là dựa vào các yếu tố đầu vào như cách học của sinh viên, học ở đâu hoặc mất bao lâu để hoàn tất khóa học. Điều này có nghĩa là đối với các chương trình giáo dục theo năng lực, sinh viên được tự do khám phá những cách thức mới để giúp học tập hiệu quả. Một số chương trình dạy học theo năng lực được thiết kế để cho phép người học học theo nhiều phương pháp khác nhau, đôi khi dựa trên các tài nguyên giáo dục mở (bao gồm tài liệu viết, video, bài giảng được ghi lại, v.v.) hoặc học thực hành, học theo dự án. Nhiều chương trình cũng được thiết kế để sinh viên xuất sắc học theo mức độ của riêng họ, thay vì theo mức độ được quy định bởi học kỳ hoặc tín chỉ. Điều này có nghĩa là những sinh viên năng động và xuất sắc hơn có thể hoàn thành chương trình của mình trong thời gian ngắn hơn.</w:t>
      </w:r>
    </w:p>
    <w:p w14:paraId="4B87991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lastRenderedPageBreak/>
        <w:t>Có nhiều phương pháp tiếp cận để chuyển từ mô hình học tập truyền thống sang học tập dựa trên năng lực người học, trong khuôn khổ bài báo sẽ trình bày một số tiếp cận và chiến lược phù hợp với phương pháp giảng dạy theo năng lực.</w:t>
      </w:r>
    </w:p>
    <w:p w14:paraId="2C09A43C" w14:textId="77777777" w:rsidR="00257345" w:rsidRDefault="00257345" w:rsidP="00257345">
      <w:pPr>
        <w:widowControl/>
        <w:autoSpaceDE/>
        <w:autoSpaceDN/>
        <w:spacing w:after="160" w:line="259" w:lineRule="auto"/>
        <w:ind w:firstLine="284"/>
        <w:jc w:val="both"/>
        <w:rPr>
          <w:rFonts w:eastAsia="Calibri"/>
          <w:i/>
          <w:sz w:val="21"/>
          <w:szCs w:val="21"/>
          <w:lang w:val="en-US"/>
        </w:rPr>
      </w:pPr>
      <w:r>
        <w:rPr>
          <w:rFonts w:eastAsia="Calibri"/>
          <w:i/>
          <w:sz w:val="21"/>
          <w:szCs w:val="21"/>
          <w:lang w:val="en-US"/>
        </w:rPr>
        <w:t>2.1. Chiến lược giảng dạy phù hợp với các miền học tập</w:t>
      </w:r>
    </w:p>
    <w:p w14:paraId="08EE5C34"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Các miền học tập chính bao gồm: Miền tâm vận động, miền nhận thức và miền xúc cảm (Neil O’Sullivan &amp; Alan Burce, 2014)</w:t>
      </w:r>
    </w:p>
    <w:p w14:paraId="3B53F887" w14:textId="77777777" w:rsidR="00257345" w:rsidRDefault="00257345" w:rsidP="00257345">
      <w:pPr>
        <w:widowControl/>
        <w:autoSpaceDE/>
        <w:autoSpaceDN/>
        <w:spacing w:after="160"/>
        <w:ind w:firstLine="426"/>
        <w:jc w:val="both"/>
        <w:rPr>
          <w:rFonts w:eastAsia="Calibri"/>
          <w:sz w:val="21"/>
          <w:szCs w:val="21"/>
          <w:lang w:val="en-US"/>
        </w:rPr>
      </w:pPr>
      <w:r>
        <w:rPr>
          <w:rFonts w:eastAsia="Calibri"/>
          <w:sz w:val="21"/>
          <w:szCs w:val="21"/>
          <w:lang w:val="en-US"/>
        </w:rPr>
        <w:t>Chiến lược giảng dạy theo năng lực đối với miền tâm vận động có thể được tiến hành theo những cách sau:</w:t>
      </w:r>
    </w:p>
    <w:p w14:paraId="1F723161" w14:textId="77777777" w:rsidR="00257345" w:rsidRDefault="00257345" w:rsidP="00257345">
      <w:pPr>
        <w:numPr>
          <w:ilvl w:val="1"/>
          <w:numId w:val="1"/>
        </w:numPr>
        <w:spacing w:after="160"/>
        <w:ind w:left="0" w:firstLine="426"/>
        <w:contextualSpacing/>
        <w:jc w:val="both"/>
        <w:rPr>
          <w:rFonts w:eastAsia="Calibri"/>
          <w:sz w:val="21"/>
          <w:szCs w:val="21"/>
          <w:lang w:val="en-US"/>
        </w:rPr>
      </w:pPr>
      <w:r>
        <w:rPr>
          <w:rFonts w:eastAsia="Calibri"/>
          <w:sz w:val="21"/>
          <w:szCs w:val="21"/>
          <w:lang w:val="en-US"/>
        </w:rPr>
        <w:t>Trình bày cách dự kiến để thực hiện một kỹ năng nhất định. Cho phép người học thực hành trong một thời gian, và sau đó yêu cầu trình diễn lại kỹ năng đó.</w:t>
      </w:r>
    </w:p>
    <w:p w14:paraId="7ADD2403" w14:textId="77777777" w:rsidR="00257345" w:rsidRDefault="00257345" w:rsidP="00257345">
      <w:pPr>
        <w:numPr>
          <w:ilvl w:val="1"/>
          <w:numId w:val="1"/>
        </w:numPr>
        <w:spacing w:after="160"/>
        <w:ind w:left="0" w:firstLine="426"/>
        <w:contextualSpacing/>
        <w:jc w:val="both"/>
        <w:rPr>
          <w:rFonts w:eastAsia="Calibri"/>
          <w:sz w:val="21"/>
          <w:szCs w:val="21"/>
          <w:lang w:val="en-US"/>
        </w:rPr>
      </w:pPr>
      <w:r>
        <w:rPr>
          <w:rFonts w:eastAsia="Calibri"/>
          <w:sz w:val="21"/>
          <w:szCs w:val="21"/>
          <w:lang w:val="en-US"/>
        </w:rPr>
        <w:t>Thiết lập các mô hình hoặc tạo một mô phỏng trong phòng thí nghiệm, xưởng thực hành, nơi người học có thể thực hành lặp đi lặp lại các kỹ năng với đồng nghiệp hoặc dưới sự giám sát của giảng viên.</w:t>
      </w:r>
    </w:p>
    <w:p w14:paraId="10BB75C3" w14:textId="77777777" w:rsidR="00257345" w:rsidRDefault="00257345" w:rsidP="00257345">
      <w:pPr>
        <w:numPr>
          <w:ilvl w:val="1"/>
          <w:numId w:val="1"/>
        </w:numPr>
        <w:spacing w:after="160"/>
        <w:ind w:left="0" w:firstLine="426"/>
        <w:contextualSpacing/>
        <w:jc w:val="both"/>
        <w:rPr>
          <w:rFonts w:eastAsia="Calibri"/>
          <w:sz w:val="21"/>
          <w:szCs w:val="21"/>
          <w:lang w:val="en-US"/>
        </w:rPr>
      </w:pPr>
      <w:r>
        <w:rPr>
          <w:rFonts w:eastAsia="Calibri"/>
          <w:sz w:val="21"/>
          <w:szCs w:val="21"/>
          <w:lang w:val="en-US"/>
        </w:rPr>
        <w:t>Thiết kế một công cụ đánh giá hợp lệ và đáng tin cậy để sử dụng trong việc xác định năng lực thông qua việc thể hiện kỹ năng của người học.</w:t>
      </w:r>
    </w:p>
    <w:p w14:paraId="02A17842" w14:textId="77777777" w:rsidR="00257345" w:rsidRDefault="00257345" w:rsidP="00257345">
      <w:pPr>
        <w:widowControl/>
        <w:autoSpaceDE/>
        <w:autoSpaceDN/>
        <w:spacing w:after="160"/>
        <w:ind w:firstLine="426"/>
        <w:jc w:val="both"/>
        <w:rPr>
          <w:rFonts w:eastAsia="Calibri"/>
          <w:sz w:val="21"/>
          <w:szCs w:val="21"/>
          <w:lang w:val="en-US"/>
        </w:rPr>
      </w:pPr>
      <w:r>
        <w:rPr>
          <w:rFonts w:eastAsia="Calibri"/>
          <w:sz w:val="21"/>
          <w:szCs w:val="21"/>
          <w:lang w:val="en-US"/>
        </w:rPr>
        <w:tab/>
        <w:t>Các bước tiến hành đối trong chiến lược giảng dạy đối với miền xúc cảm:</w:t>
      </w:r>
    </w:p>
    <w:p w14:paraId="078F3B38" w14:textId="77777777" w:rsidR="00257345" w:rsidRDefault="00257345" w:rsidP="00257345">
      <w:pPr>
        <w:numPr>
          <w:ilvl w:val="2"/>
          <w:numId w:val="2"/>
        </w:numPr>
        <w:spacing w:after="160"/>
        <w:ind w:left="0" w:firstLine="426"/>
        <w:contextualSpacing/>
        <w:jc w:val="both"/>
        <w:rPr>
          <w:rFonts w:eastAsia="Calibri"/>
          <w:sz w:val="21"/>
          <w:szCs w:val="21"/>
          <w:lang w:val="en-US"/>
        </w:rPr>
      </w:pPr>
      <w:r>
        <w:rPr>
          <w:rFonts w:eastAsia="Calibri"/>
          <w:sz w:val="21"/>
          <w:szCs w:val="21"/>
          <w:lang w:val="en-US"/>
        </w:rPr>
        <w:t>Thiết kế các dạng bài tập phân hóa được từng cá nhân người học</w:t>
      </w:r>
    </w:p>
    <w:p w14:paraId="1CDF9283" w14:textId="77777777" w:rsidR="00257345" w:rsidRDefault="00257345" w:rsidP="00257345">
      <w:pPr>
        <w:numPr>
          <w:ilvl w:val="2"/>
          <w:numId w:val="2"/>
        </w:numPr>
        <w:spacing w:after="160"/>
        <w:ind w:left="0" w:firstLine="426"/>
        <w:contextualSpacing/>
        <w:jc w:val="both"/>
        <w:rPr>
          <w:rFonts w:eastAsia="Calibri"/>
          <w:sz w:val="21"/>
          <w:szCs w:val="21"/>
          <w:lang w:val="en-US"/>
        </w:rPr>
      </w:pPr>
      <w:r>
        <w:rPr>
          <w:rFonts w:eastAsia="Calibri"/>
          <w:sz w:val="21"/>
          <w:szCs w:val="21"/>
          <w:lang w:val="en-US"/>
        </w:rPr>
        <w:t>Cung cấp một khuôn khổ để phân tích các hoạt động dựa trên các kết quả có thể đo lường được của người học</w:t>
      </w:r>
    </w:p>
    <w:p w14:paraId="48047AC8" w14:textId="77777777" w:rsidR="00257345" w:rsidRDefault="00257345" w:rsidP="00257345">
      <w:pPr>
        <w:numPr>
          <w:ilvl w:val="2"/>
          <w:numId w:val="2"/>
        </w:numPr>
        <w:spacing w:after="160"/>
        <w:ind w:left="0" w:firstLine="426"/>
        <w:contextualSpacing/>
        <w:jc w:val="both"/>
        <w:rPr>
          <w:rFonts w:eastAsia="Calibri"/>
          <w:sz w:val="21"/>
          <w:szCs w:val="21"/>
          <w:lang w:val="en-US"/>
        </w:rPr>
      </w:pPr>
      <w:r>
        <w:rPr>
          <w:rFonts w:eastAsia="Calibri"/>
          <w:sz w:val="21"/>
          <w:szCs w:val="21"/>
          <w:lang w:val="en-US"/>
        </w:rPr>
        <w:t>Đưa ra các cuộc thảo luận về các giá trị và niềm tin khác nhau đối với năng lực người học</w:t>
      </w:r>
    </w:p>
    <w:p w14:paraId="6EE71505" w14:textId="77777777" w:rsidR="00257345" w:rsidRDefault="00257345" w:rsidP="00257345">
      <w:pPr>
        <w:numPr>
          <w:ilvl w:val="2"/>
          <w:numId w:val="2"/>
        </w:numPr>
        <w:spacing w:after="160"/>
        <w:ind w:left="0" w:firstLine="426"/>
        <w:contextualSpacing/>
        <w:jc w:val="both"/>
        <w:rPr>
          <w:rFonts w:eastAsia="Calibri"/>
          <w:sz w:val="21"/>
          <w:szCs w:val="21"/>
          <w:lang w:val="en-US"/>
        </w:rPr>
      </w:pPr>
      <w:r>
        <w:rPr>
          <w:rFonts w:eastAsia="Calibri"/>
          <w:sz w:val="21"/>
          <w:szCs w:val="21"/>
          <w:lang w:val="en-US"/>
        </w:rPr>
        <w:t>Tạo ra một công cụ đánh giá hợp lệ và đáng tin cậy để sử dụng trong việc xác định năng lực thực hành của từng cá nhân người học</w:t>
      </w:r>
    </w:p>
    <w:p w14:paraId="321E588E" w14:textId="77777777" w:rsidR="00257345" w:rsidRDefault="00257345" w:rsidP="00257345">
      <w:pPr>
        <w:widowControl/>
        <w:autoSpaceDE/>
        <w:autoSpaceDN/>
        <w:spacing w:after="160"/>
        <w:ind w:firstLine="426"/>
        <w:jc w:val="both"/>
        <w:rPr>
          <w:rFonts w:eastAsia="Calibri"/>
          <w:sz w:val="21"/>
          <w:szCs w:val="21"/>
          <w:lang w:val="en-US"/>
        </w:rPr>
      </w:pPr>
      <w:r>
        <w:rPr>
          <w:rFonts w:eastAsia="Calibri"/>
          <w:sz w:val="21"/>
          <w:szCs w:val="21"/>
          <w:lang w:val="en-US"/>
        </w:rPr>
        <w:t>Chiến lược giảng dạy với miền nhận thức, trình tự tiến hành như sau:</w:t>
      </w:r>
    </w:p>
    <w:p w14:paraId="5137FD40" w14:textId="77777777" w:rsidR="00257345" w:rsidRDefault="00257345" w:rsidP="00257345">
      <w:pPr>
        <w:numPr>
          <w:ilvl w:val="2"/>
          <w:numId w:val="3"/>
        </w:numPr>
        <w:spacing w:after="160"/>
        <w:ind w:left="0" w:firstLine="426"/>
        <w:contextualSpacing/>
        <w:jc w:val="both"/>
        <w:rPr>
          <w:rFonts w:eastAsia="Calibri"/>
          <w:sz w:val="21"/>
          <w:szCs w:val="21"/>
          <w:lang w:val="en-US"/>
        </w:rPr>
      </w:pPr>
      <w:r>
        <w:rPr>
          <w:rFonts w:eastAsia="Calibri"/>
          <w:sz w:val="21"/>
          <w:szCs w:val="21"/>
          <w:lang w:val="en-US"/>
        </w:rPr>
        <w:t>Phát triển các trường hợp điển hình từ những yêu cầu thực tế để xác định phương pháp tiếp cận năng lực sao cho phù hợp nhất.</w:t>
      </w:r>
    </w:p>
    <w:p w14:paraId="6BFB6CE5" w14:textId="77777777" w:rsidR="00257345" w:rsidRDefault="00257345" w:rsidP="00257345">
      <w:pPr>
        <w:numPr>
          <w:ilvl w:val="2"/>
          <w:numId w:val="3"/>
        </w:numPr>
        <w:spacing w:after="160"/>
        <w:ind w:left="0" w:firstLine="426"/>
        <w:contextualSpacing/>
        <w:jc w:val="both"/>
        <w:rPr>
          <w:rFonts w:eastAsia="Calibri"/>
          <w:sz w:val="21"/>
          <w:szCs w:val="21"/>
          <w:lang w:val="en-US"/>
        </w:rPr>
      </w:pPr>
      <w:r>
        <w:rPr>
          <w:rFonts w:eastAsia="Calibri"/>
          <w:sz w:val="21"/>
          <w:szCs w:val="21"/>
          <w:lang w:val="en-US"/>
        </w:rPr>
        <w:t>Hỗ trợ các cuộc thảo luận do người học dẫn dắt để giải quyết các tình huống thực tế.</w:t>
      </w:r>
    </w:p>
    <w:p w14:paraId="278D7591" w14:textId="77777777" w:rsidR="00257345" w:rsidRDefault="00257345" w:rsidP="00257345">
      <w:pPr>
        <w:numPr>
          <w:ilvl w:val="2"/>
          <w:numId w:val="3"/>
        </w:numPr>
        <w:spacing w:after="160"/>
        <w:ind w:left="0" w:firstLine="426"/>
        <w:contextualSpacing/>
        <w:jc w:val="both"/>
        <w:rPr>
          <w:rFonts w:eastAsia="Calibri"/>
          <w:sz w:val="21"/>
          <w:szCs w:val="21"/>
          <w:lang w:val="en-US"/>
        </w:rPr>
      </w:pPr>
      <w:r>
        <w:rPr>
          <w:rFonts w:eastAsia="Calibri"/>
          <w:sz w:val="21"/>
          <w:szCs w:val="21"/>
          <w:lang w:val="en-US"/>
        </w:rPr>
        <w:t>Luôn luôn yêu cầu người học cung cấp cơ sở cho việc trả lời các câu hỏi</w:t>
      </w:r>
    </w:p>
    <w:p w14:paraId="78E41690" w14:textId="77777777" w:rsidR="00257345" w:rsidRDefault="00257345" w:rsidP="00257345">
      <w:pPr>
        <w:numPr>
          <w:ilvl w:val="2"/>
          <w:numId w:val="3"/>
        </w:numPr>
        <w:spacing w:after="160"/>
        <w:ind w:left="0" w:firstLine="426"/>
        <w:contextualSpacing/>
        <w:jc w:val="both"/>
        <w:rPr>
          <w:rFonts w:eastAsia="Calibri"/>
          <w:sz w:val="21"/>
          <w:szCs w:val="21"/>
          <w:lang w:val="en-US"/>
        </w:rPr>
      </w:pPr>
      <w:r>
        <w:rPr>
          <w:rFonts w:eastAsia="Calibri"/>
          <w:sz w:val="21"/>
          <w:szCs w:val="21"/>
          <w:lang w:val="en-US"/>
        </w:rPr>
        <w:t>Tránh việc trả lời mọi câu hỏi của người học, đặc biệt khi người học biết hoặc đã có định hướng cho câu trả lời.</w:t>
      </w:r>
    </w:p>
    <w:p w14:paraId="614278D0"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Một trong những chiến lược giảng dạy theo năng lực hiệu quả nhất để hướng dẫn người học là đặt câu hỏi theo kiểu “Socrate”. Mục đích chính của cách đặt câu hỏi theo kiểu này là khuyến khích người học thử thách cách người học suy nghĩ, những gì người học đang nghĩ, mục đích là để dẫn đến mục tiêu khiến người học trở thành một người có năng lực.</w:t>
      </w:r>
    </w:p>
    <w:p w14:paraId="4E21AFF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Các chiến lược giảng dạy này đều nhằm mục đích giúp người học phát triển cách tư duy mới về những gì họ đang học, khuyến khích người học khám phá kiến thức và kỹ năng mới bằng cách sử dụng tư duy phản biện, hỗ trợ những nỗ lực của người học để tích hợp phương pháp học mới này vào thực tiễn của họ. Giảng viên trở thành một người huấn luyện hoặc người hỗ trợ việc học, chứ không phải là một nhà hiền triết hiểu biết rộng rãi nói cho người học biết phải học gì, học như thế nào và phải làm gì với cách học mới.</w:t>
      </w:r>
    </w:p>
    <w:p w14:paraId="7D692A03" w14:textId="77777777" w:rsidR="00257345" w:rsidRDefault="00257345" w:rsidP="00257345">
      <w:pPr>
        <w:widowControl/>
        <w:autoSpaceDE/>
        <w:autoSpaceDN/>
        <w:spacing w:after="160" w:line="259" w:lineRule="auto"/>
        <w:ind w:firstLine="284"/>
        <w:jc w:val="both"/>
        <w:rPr>
          <w:rFonts w:eastAsia="Calibri"/>
          <w:i/>
          <w:sz w:val="21"/>
          <w:szCs w:val="21"/>
          <w:lang w:val="en-US"/>
        </w:rPr>
      </w:pPr>
      <w:r>
        <w:rPr>
          <w:rFonts w:eastAsia="Calibri"/>
          <w:i/>
          <w:sz w:val="21"/>
          <w:szCs w:val="21"/>
          <w:lang w:val="en-US"/>
        </w:rPr>
        <w:t>2.2. Phương pháp tiếp cận O-CDIO</w:t>
      </w:r>
    </w:p>
    <w:p w14:paraId="467DC2A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Thuật ngữ CDIO hiện nay đã được nhắc tới nhiều, là cụm chữ viết tắt của cụm từ tiếng Anh Conceive Design Implement Operate, nghĩa là: Hình thành ý tưởng, thiết kế, thực hiện và vận hành. Khái niệm CDIO ban đầu được hình thành tại Viện Công nghệ Massachusetts cuối những năm 1990. Phương pháp CDIO sử dụng các công cụ học tập chủ động, chẳng hạn như các dự án theo nhóm và học tập dựa trên vấn đề, để trang bị tốt hơn cho sinh viên kỹ thuật những kiến thức về kỹ thuật cũng như các kỹ năng giao tiếp và các kỹ năng chuyên môn. Ngoài ra, Sáng kiến CDIO cung cấp tài nguyên cho các giảng viên của các trường thành viên nhằm cải thiện khả năng giảng dạy của họ. (“Đề xướng CDIO,” n.d.)</w:t>
      </w:r>
    </w:p>
    <w:p w14:paraId="61A078F9" w14:textId="77777777" w:rsidR="00257345" w:rsidRDefault="00257345" w:rsidP="00257345">
      <w:pPr>
        <w:widowControl/>
        <w:autoSpaceDE/>
        <w:autoSpaceDN/>
        <w:spacing w:after="160" w:line="259" w:lineRule="auto"/>
        <w:ind w:firstLine="284"/>
        <w:jc w:val="both"/>
        <w:rPr>
          <w:rFonts w:eastAsia="Calibri"/>
          <w:sz w:val="21"/>
          <w:szCs w:val="21"/>
          <w:lang w:val="pt-BR"/>
        </w:rPr>
      </w:pPr>
      <w:r>
        <w:rPr>
          <w:rFonts w:eastAsia="Calibri"/>
          <w:sz w:val="21"/>
          <w:szCs w:val="21"/>
          <w:lang w:val="en-US"/>
        </w:rPr>
        <w:lastRenderedPageBreak/>
        <w:t xml:space="preserve">Đối với phương pháp O-CDIO là một cải tiến từ cách tiếp cận CDIO nguyên bản, chữ đầu tiên “O” là viết tắt của “Observer” (có nghĩa là “Quan sát”) nhấn mạnh tầm quan trọng của việc xác định những yếu tố, hiện tượng ban đầu của vấn đề. Phương pháp O-CDIO tích hợp tư duy thiết kế (Design Thinking), tư duy hệ thống (System Thinking) lấy con người làm trung tâm (Human-Centered Approach) trong việc giảng dạy, đồng thời khuyến khích các khóa học áp dụng các cách tư duy này  xuyên suốt trong chương trình đào tạo. Cả 2 cấu trúc trong phương pháp CDIO truyền thống và O-CDIO đều chia sẻ cùng quan điểm với việc học, quan sát người học từ cụ thể đến trừu tượng. Ngoài ra, để kích thích việc học tập thông qua trải nghiệm, phương pháp O-CDIO còn bao gồm nhiều phương pháp học tập tích cực khác chẳng hạn như học thông qua giải quyết vấn đề (Problem Based- Learning), học tập dựa trên dự án (Project Based- Learning), học tập qua chủ đề của cuộc nói chuyện (Storytelling Based-Learning), học tập dựa trên thử thách (Challenge Based-Learning) miễn là thông qua các phương pháp này có thể giúp người học đạt được chuẩn đầu ra của chương trình đào tạo. </w:t>
      </w:r>
      <w:r>
        <w:rPr>
          <w:rFonts w:eastAsia="Calibri"/>
          <w:sz w:val="21"/>
          <w:szCs w:val="21"/>
          <w:lang w:val="pt-BR"/>
        </w:rPr>
        <w:t>(Ville Taajamaa, Mona Eskandari, Barbara A. Karanian và Antti Airola, 2016)</w:t>
      </w:r>
    </w:p>
    <w:p w14:paraId="644DC42B" w14:textId="77777777" w:rsidR="00257345" w:rsidRDefault="00257345" w:rsidP="00257345">
      <w:pPr>
        <w:widowControl/>
        <w:autoSpaceDE/>
        <w:autoSpaceDN/>
        <w:spacing w:after="160" w:line="259" w:lineRule="auto"/>
        <w:ind w:firstLine="284"/>
        <w:jc w:val="center"/>
        <w:rPr>
          <w:rFonts w:eastAsia="Calibri"/>
          <w:sz w:val="21"/>
          <w:szCs w:val="21"/>
          <w:lang w:val="en-US"/>
        </w:rPr>
      </w:pPr>
      <w:r>
        <w:rPr>
          <w:rFonts w:eastAsia="Calibri"/>
          <w:noProof/>
          <w:sz w:val="21"/>
          <w:szCs w:val="21"/>
          <w:lang w:val="en-US"/>
        </w:rPr>
        <w:drawing>
          <wp:inline distT="0" distB="0" distL="0" distR="0" wp14:anchorId="515CFA82" wp14:editId="77031FDF">
            <wp:extent cx="5760720" cy="3662045"/>
            <wp:effectExtent l="0" t="0" r="11430" b="146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5"/>
                    <a:stretch>
                      <a:fillRect/>
                    </a:stretch>
                  </pic:blipFill>
                  <pic:spPr>
                    <a:xfrm>
                      <a:off x="0" y="0"/>
                      <a:ext cx="5760720" cy="3662045"/>
                    </a:xfrm>
                    <a:prstGeom prst="rect">
                      <a:avLst/>
                    </a:prstGeom>
                  </pic:spPr>
                </pic:pic>
              </a:graphicData>
            </a:graphic>
          </wp:inline>
        </w:drawing>
      </w:r>
    </w:p>
    <w:p w14:paraId="166B8C0D" w14:textId="77777777" w:rsidR="00257345" w:rsidRDefault="00257345" w:rsidP="00257345">
      <w:pPr>
        <w:widowControl/>
        <w:autoSpaceDE/>
        <w:autoSpaceDN/>
        <w:spacing w:line="259" w:lineRule="auto"/>
        <w:ind w:firstLine="284"/>
        <w:jc w:val="center"/>
        <w:rPr>
          <w:rFonts w:eastAsia="Calibri"/>
          <w:sz w:val="21"/>
          <w:szCs w:val="21"/>
          <w:lang w:val="en-US"/>
        </w:rPr>
      </w:pPr>
      <w:r>
        <w:rPr>
          <w:rFonts w:eastAsia="Calibri"/>
          <w:b/>
          <w:sz w:val="21"/>
          <w:szCs w:val="21"/>
          <w:lang w:val="en-US"/>
        </w:rPr>
        <w:t>Hình 1.</w:t>
      </w:r>
      <w:r>
        <w:rPr>
          <w:rFonts w:eastAsia="Calibri"/>
          <w:sz w:val="21"/>
          <w:szCs w:val="21"/>
          <w:lang w:val="en-US"/>
        </w:rPr>
        <w:t xml:space="preserve"> Minh họa cách vận dụng phương pháp O-CDIO </w:t>
      </w:r>
    </w:p>
    <w:p w14:paraId="36E88DD0" w14:textId="77777777" w:rsidR="00257345" w:rsidRDefault="00257345" w:rsidP="00257345">
      <w:pPr>
        <w:widowControl/>
        <w:autoSpaceDE/>
        <w:autoSpaceDN/>
        <w:spacing w:line="259" w:lineRule="auto"/>
        <w:ind w:firstLine="284"/>
        <w:jc w:val="center"/>
        <w:rPr>
          <w:rFonts w:eastAsia="Calibri"/>
          <w:sz w:val="21"/>
          <w:szCs w:val="21"/>
          <w:lang w:val="en-US"/>
        </w:rPr>
      </w:pPr>
      <w:r>
        <w:rPr>
          <w:rFonts w:eastAsia="Calibri"/>
          <w:sz w:val="21"/>
          <w:szCs w:val="21"/>
          <w:lang w:val="en-US"/>
        </w:rPr>
        <w:t>(từ Ville Taajamaa et al. , 2016, trang 3)</w:t>
      </w:r>
    </w:p>
    <w:p w14:paraId="12953C28" w14:textId="77777777" w:rsidR="00257345" w:rsidRDefault="00257345" w:rsidP="00257345">
      <w:pPr>
        <w:widowControl/>
        <w:autoSpaceDE/>
        <w:autoSpaceDN/>
        <w:spacing w:line="259" w:lineRule="auto"/>
        <w:ind w:firstLine="284"/>
        <w:jc w:val="center"/>
        <w:rPr>
          <w:rFonts w:eastAsia="Calibri"/>
          <w:sz w:val="21"/>
          <w:szCs w:val="21"/>
          <w:lang w:val="en-US"/>
        </w:rPr>
      </w:pPr>
    </w:p>
    <w:p w14:paraId="02318AF9"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Dựa theo hình 1, phương pháp O-CDIO tập trung vào quá trình giải quyết vấn đề, có 3 bước tiến hành cơ bản:</w:t>
      </w:r>
    </w:p>
    <w:p w14:paraId="41AD2E06"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Bước đầu tiên tập trung vào vấn đề thông qua xác định và mở rộng toàn bộ dữ liệu liên quan đến vấn đề trước khi chuyển sự chú ý đến các giải pháp khả thi, ở bước này có thêm công cụ “Quan sát” khi xác định vấn đề.</w:t>
      </w:r>
    </w:p>
    <w:p w14:paraId="2BCB8588"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Bước thứ hai, sử dụng phương pháp tư duy thiết kế (Design Thinking), trong bước này, sự phức tạp của vấn đề được chuyển thành một loạt các giải pháp khả thi (thông qua bước “ Lên ý tưởng”) có thể thực hiện được trong bước tiếp theo là bước Triển khai (Implement)</w:t>
      </w:r>
    </w:p>
    <w:p w14:paraId="39CE8BB9"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lastRenderedPageBreak/>
        <w:t>- Bước thứ ba, “Triển khai” , trong bước này có sự kết hợp giữa tư duy thiết kế và tư duy hệ thống (System Thinking) trong việc giải quyết vấn đề.</w:t>
      </w:r>
    </w:p>
    <w:p w14:paraId="43D2FF77" w14:textId="77777777" w:rsidR="00257345" w:rsidRDefault="00257345" w:rsidP="00257345">
      <w:pPr>
        <w:widowControl/>
        <w:autoSpaceDE/>
        <w:autoSpaceDN/>
        <w:spacing w:after="160" w:line="259" w:lineRule="auto"/>
        <w:ind w:firstLine="284"/>
        <w:jc w:val="center"/>
        <w:rPr>
          <w:rFonts w:eastAsia="Calibri"/>
          <w:sz w:val="21"/>
          <w:szCs w:val="21"/>
          <w:lang w:val="en-US"/>
        </w:rPr>
      </w:pPr>
      <w:r>
        <w:rPr>
          <w:rFonts w:eastAsia="Calibri"/>
          <w:noProof/>
          <w:sz w:val="21"/>
          <w:szCs w:val="21"/>
          <w:lang w:val="en-US"/>
        </w:rPr>
        <w:drawing>
          <wp:inline distT="0" distB="0" distL="0" distR="0" wp14:anchorId="4DEA9543" wp14:editId="3B6D10DE">
            <wp:extent cx="5694680" cy="4628515"/>
            <wp:effectExtent l="0" t="0" r="127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6"/>
                    <a:stretch>
                      <a:fillRect/>
                    </a:stretch>
                  </pic:blipFill>
                  <pic:spPr>
                    <a:xfrm>
                      <a:off x="0" y="0"/>
                      <a:ext cx="5695238" cy="4628571"/>
                    </a:xfrm>
                    <a:prstGeom prst="rect">
                      <a:avLst/>
                    </a:prstGeom>
                  </pic:spPr>
                </pic:pic>
              </a:graphicData>
            </a:graphic>
          </wp:inline>
        </w:drawing>
      </w:r>
    </w:p>
    <w:p w14:paraId="109F481B" w14:textId="77777777" w:rsidR="00257345" w:rsidRDefault="00257345" w:rsidP="00257345">
      <w:pPr>
        <w:widowControl/>
        <w:autoSpaceDE/>
        <w:autoSpaceDN/>
        <w:spacing w:line="259" w:lineRule="auto"/>
        <w:ind w:firstLine="284"/>
        <w:jc w:val="center"/>
        <w:rPr>
          <w:rFonts w:eastAsia="Calibri"/>
          <w:sz w:val="21"/>
          <w:szCs w:val="21"/>
          <w:lang w:val="en-US"/>
        </w:rPr>
      </w:pPr>
      <w:r>
        <w:rPr>
          <w:rFonts w:eastAsia="Calibri"/>
          <w:b/>
          <w:sz w:val="21"/>
          <w:szCs w:val="21"/>
          <w:lang w:val="en-US"/>
        </w:rPr>
        <w:t>Hình 2.</w:t>
      </w:r>
      <w:r>
        <w:rPr>
          <w:rFonts w:eastAsia="Calibri"/>
          <w:sz w:val="21"/>
          <w:szCs w:val="21"/>
          <w:lang w:val="en-US"/>
        </w:rPr>
        <w:t xml:space="preserve"> So sánh giữa phương pháp CDIO truyền thống và O-CDIO</w:t>
      </w:r>
    </w:p>
    <w:p w14:paraId="499DFF69" w14:textId="77777777" w:rsidR="00257345" w:rsidRDefault="00257345" w:rsidP="00257345">
      <w:pPr>
        <w:widowControl/>
        <w:autoSpaceDE/>
        <w:autoSpaceDN/>
        <w:spacing w:line="259" w:lineRule="auto"/>
        <w:ind w:firstLine="284"/>
        <w:jc w:val="center"/>
        <w:rPr>
          <w:rFonts w:eastAsia="Calibri"/>
          <w:sz w:val="21"/>
          <w:szCs w:val="21"/>
          <w:lang w:val="en-US"/>
        </w:rPr>
      </w:pPr>
      <w:r>
        <w:rPr>
          <w:rFonts w:eastAsia="Calibri"/>
          <w:sz w:val="21"/>
          <w:szCs w:val="21"/>
          <w:lang w:val="en-US"/>
        </w:rPr>
        <w:t>(từ Ville Taajamaa et al. , 2016, trang 4)</w:t>
      </w:r>
    </w:p>
    <w:p w14:paraId="4D5C438C" w14:textId="77777777" w:rsidR="00257345" w:rsidRDefault="00257345" w:rsidP="00257345">
      <w:pPr>
        <w:widowControl/>
        <w:autoSpaceDE/>
        <w:autoSpaceDN/>
        <w:spacing w:after="160" w:line="259" w:lineRule="auto"/>
        <w:ind w:firstLine="284"/>
        <w:jc w:val="center"/>
        <w:rPr>
          <w:rFonts w:eastAsia="Calibri"/>
          <w:sz w:val="21"/>
          <w:szCs w:val="21"/>
          <w:lang w:val="en-US"/>
        </w:rPr>
      </w:pPr>
    </w:p>
    <w:p w14:paraId="67983AFB"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Trong cách tiếp cận O-CDIO, các bước  “Quan sát” và “Thiết kế” sử dụng Tư duy thiết kế lấy con người làm trung tâm, còn các bước “Lên ý tưởng”, “Triển khai” và “Vận hành” sử dụng Tư duy hệ thống kết hợp với nền tảng kiến thức Khoa học tự nhiên. Cách tiếp cận O-CDIO nhấn mạnh đến khả năng tư duy thiết kế lấy con người làm trung tâm, với bước “Quan sát” để có thể giúp người học tìm ra những ý tưởng đầu tiên cho dự án của mình thông qua phương pháp kể chuyện (Storytelling) của giảng viên để kích thích trí tưởng tượng và khám phá của người học. Cũng chính nhờ những phương pháp tiếp cận tiến bộ này mà đã có nhiều dự án khởi nghiệp, các ý tưởng sáng tạo thành công với lượng vốn huy động lớn mà những thành viên trong dự án còn chưa tốt nghiệp chương trình học.</w:t>
      </w:r>
    </w:p>
    <w:p w14:paraId="561BA95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Tại Đại học Stanford, California, Hoa Kỳ, đã áp dụng cách tiếp cận O-CDIO để giảng dạy tại Khoa Cơ khí thông qua phương pháp học tập dựa trên việc kể một câu chuyện (Storytelling Based Learning) trong một khóa học có tên là : “Tell – Make- Engage”. Mục tiêu trước hết là trang bị cho sinh viên các phương pháp và kỹ năng để xác định một vấn đề qua câu chuyện được kể, thứ hai là để thách thức các cá nhân hoặc một nhóm sinh viên trở nên chú ý vào câu chuyện, từ đó sinh viên trở nên cố gắng hơn, hoàn thiện hơn để đạt được mục tiêu của mình. (Ville Taajamaa et al. , 2016)</w:t>
      </w:r>
    </w:p>
    <w:p w14:paraId="7E3B651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lastRenderedPageBreak/>
        <w:t>Mô hình tiếp cận O-CDIO có các phương pháp Tư duy thiết kế lấy con người làm trung tâm trong đào tạo sinh viên kỹ thuật thông qua chương trình giảng dạy từ ngày đầu tiên đến khi tốt nghiệp. Các bước quá trình trong mô hình tiếp cận giúp cải thiện kiến thức, kỹ năng và thái độ của người học hằng ngày, năng lực của người học được thể hiện rõ ràng và được đánh giá một cách khoa học, hiệu quả, chính xác. Thông qua cách tiếp cận này, sinh viên sẽ chủ động hơn trong việc học tập, rèn luyện được các kỹ năng và quan trọng là có thể điều chỉnh việc học phù hợp với năng lực của mình.</w:t>
      </w:r>
    </w:p>
    <w:p w14:paraId="47A2D776" w14:textId="77777777" w:rsidR="00257345" w:rsidRDefault="00257345" w:rsidP="00257345">
      <w:pPr>
        <w:widowControl/>
        <w:autoSpaceDE/>
        <w:autoSpaceDN/>
        <w:spacing w:after="160" w:line="259" w:lineRule="auto"/>
        <w:ind w:firstLine="284"/>
        <w:jc w:val="both"/>
        <w:rPr>
          <w:rFonts w:eastAsia="Calibri"/>
          <w:i/>
          <w:sz w:val="21"/>
          <w:szCs w:val="21"/>
          <w:lang w:val="en-US"/>
        </w:rPr>
      </w:pPr>
      <w:r>
        <w:rPr>
          <w:rFonts w:eastAsia="Calibri"/>
          <w:i/>
          <w:sz w:val="21"/>
          <w:szCs w:val="21"/>
          <w:lang w:val="en-US"/>
        </w:rPr>
        <w:t xml:space="preserve">2.3. Phương pháp Giáo dục tích hợp trong công việc </w:t>
      </w:r>
    </w:p>
    <w:p w14:paraId="4D30A01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Giáo dục tích hợp trong việc là một chương trình thực tập đặc biệt tại tai một số trường cao đẳng và đai học trên thế giới hiện nay. Giáo dục tích hợp trong việc được định nghĩa là trải nghiệm học tập dựa trên những công việc thực tế diễn ra trong bối cảnh nghề nghiệp tương lai của sinh viên hoặc thông qua việc phát triển các kỹ năng sẽ được sử dụng trong các nghề nghiệp đó. Mục tiêu của phương pháp này là giúp sinh viên phát triển một loạt các kỹ năng có giá trị áp dụng vào các tình huống thực tế.</w:t>
      </w:r>
    </w:p>
    <w:p w14:paraId="5D7B2EA2"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Giáo dục tích hợp trong việc là một thành phần bắt buộc của tất cả các chương trình đại học toàn thời gian ở Trường Đại học Bách Khoa Hồng Kông (PolyU). Để đủ điều kiện tốt nghiệp, sinh viên phải hoàn thành một hoạt động Giáo dục tích hợp trong công việc ít nhất 120 giờ và đạt điểm đậu đối với bài đánh giá trong thời gian học tại trường. (“work-integrated-education,” n.d.)</w:t>
      </w:r>
    </w:p>
    <w:p w14:paraId="59B8DC3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Giảng viên cần xây dựng các hoạt động học tập nhằm yêu cầu sinh viên áp dụng một cách thích hợp kiến ​​thức thông qua việc học tập trước đó để đưa ra phản biện cho các quyết định trong bối cảnh liên quan đến công việc. Ngoài ra, sinh viên được dạy và khuyến khích phản ánh các quyết định và hành động của chính họ trong các hoạt động liên quan đến công việc đó để tự đánh giá bản thân.</w:t>
      </w:r>
    </w:p>
    <w:p w14:paraId="23E5CC68"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Giảng viên sẽ liên kết với các nhà tuyển dụng đang tìm kiếm những sinh viên tốt nghiệp có thể trở thành thành viên của một doanh nghiệp, đồng thời hỗ trợ vào quá trình kết nối giữa sinh viên tốt nghiệp với nhà tuyển dụng.</w:t>
      </w:r>
    </w:p>
    <w:p w14:paraId="41DF66C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Tạo cơ hội để sinh viên dành một thời gian nhất định trong một doanh nghiệp nhằm thực hiện các nhiệm vụ thực sự với sự giám sát của giảng viên hoặc người điều phối. Sinh viên học cách tích hợp lý thuyết đã học trước đó với ứng dụng thực tế của nó tại nơi làm việc đồng thời có thể phát triển năng lực chuyên môn..</w:t>
      </w:r>
    </w:p>
    <w:p w14:paraId="3275E410"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Sinh viên làm việc - với tư cách cá nhân hoặc theo nhóm - trong một dự án thực tế cho một đối tác của nhà trường, đúng ngành nghề mà sinh viên theo học. Các dự án được hoàn thành dưới sự giám sát của giảng viên hoặc người phụ trách của công ty tiếp nhận. Thông qua việc học cách tích hợp và áp dụng lý thuyết đã học trước đó, sinh viên có thể phát triển các kỹ năng trong việc quản lý dự án, liên lạc với khách hàng và có thể được yêu cầu làm việc trong các nhóm đa lĩnh vực.</w:t>
      </w:r>
    </w:p>
    <w:p w14:paraId="6FBB0D8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Giảng viên thiết kế các module hoặc chương trình cho việc học tập tích hợp công việc. Việc cân nhắc đầu tiên khi thiết kế một đơn vị học tập tích hợp công việc là xác định xem liệu các hoạt động học tập được lên kế hoạch có thực sự là giáo dục tích hợp công việc hay không? Các nguồn lực hỗ trợ cho việc học tập có thực sự phù hợp chưa? Sinh viên cũng nên học cách tích hợp việc học của mình và phản ánh về các hoạt động tại nơi làm việc cho giảng viên.</w:t>
      </w:r>
    </w:p>
    <w:p w14:paraId="760209F1"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 xml:space="preserve">Quá trình thiết kế một module học tập tích hợp công việc nên tham khảo thêm các module khác hoặc môn học khác trong cùng chuyên ngành hoặc cùng khóa học. Cụ thể, các module đào tạo tích hợp công việc thường được đưa vào năm cuối của khóa học và điều quan trọng là phải xem xét sinh viên đã chuẩn bị trước như thế nào cho module mà giảng viên đang thiết kế. Có những kỹ năng và năng lực nhất định mà các học sinh tham gia module đào tạo thông qua tích hợp công việc phải có từ trước. Từ đó, giảng viên có thể xác định được những kỹ năng, năng lực tiên quyết đã được đào tạo ở module nào, môn học nào trước đó. Đồng thời, giảng viên khi thiết kế module cũng cần xác định vị trí mà sinh viên có cơ hội để thực hành các kỹ năng này và sinh viên sẽ phản </w:t>
      </w:r>
      <w:r>
        <w:rPr>
          <w:rFonts w:eastAsia="Calibri"/>
          <w:sz w:val="21"/>
          <w:szCs w:val="21"/>
          <w:lang w:val="en-US"/>
        </w:rPr>
        <w:lastRenderedPageBreak/>
        <w:t>hồi về module đào tạo tích hợp công việc cho giảng viên trong suốt quá trình học. (“Work-Integrated-Learning,” n.d)</w:t>
      </w:r>
    </w:p>
    <w:p w14:paraId="47445AF6"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Giảng viên khi hướng dẫn sinh viên học tập theo phương pháp này cần đảm bảo sinh viên có thể thể hiện các năng lực sau:</w:t>
      </w:r>
    </w:p>
    <w:p w14:paraId="24626550" w14:textId="77777777" w:rsidR="00257345" w:rsidRDefault="00257345" w:rsidP="00257345">
      <w:pPr>
        <w:numPr>
          <w:ilvl w:val="0"/>
          <w:numId w:val="4"/>
        </w:numPr>
        <w:spacing w:after="160" w:line="259" w:lineRule="auto"/>
        <w:ind w:left="0" w:firstLine="284"/>
        <w:contextualSpacing/>
        <w:jc w:val="both"/>
        <w:rPr>
          <w:rFonts w:eastAsia="Calibri"/>
          <w:sz w:val="21"/>
          <w:szCs w:val="21"/>
          <w:lang w:val="en-US"/>
        </w:rPr>
      </w:pPr>
      <w:r>
        <w:rPr>
          <w:rFonts w:eastAsia="Calibri"/>
          <w:sz w:val="21"/>
          <w:szCs w:val="21"/>
          <w:lang w:val="en-US"/>
        </w:rPr>
        <w:t>Tích hợp hiệu quả và áp dụng thích hợp các kiến thức đã học tập trước đó để chứng minh cho các quyết định trong trong bối cảnh thực tại của công việc.</w:t>
      </w:r>
    </w:p>
    <w:p w14:paraId="6DD56EA6" w14:textId="77777777" w:rsidR="00257345" w:rsidRDefault="00257345" w:rsidP="00257345">
      <w:pPr>
        <w:numPr>
          <w:ilvl w:val="0"/>
          <w:numId w:val="4"/>
        </w:numPr>
        <w:spacing w:after="160" w:line="259" w:lineRule="auto"/>
        <w:ind w:left="0" w:firstLine="284"/>
        <w:contextualSpacing/>
        <w:jc w:val="both"/>
        <w:rPr>
          <w:rFonts w:eastAsia="Calibri"/>
          <w:sz w:val="21"/>
          <w:szCs w:val="21"/>
          <w:lang w:val="en-US"/>
        </w:rPr>
      </w:pPr>
      <w:r>
        <w:rPr>
          <w:rFonts w:eastAsia="Calibri"/>
          <w:sz w:val="21"/>
          <w:szCs w:val="21"/>
          <w:lang w:val="en-US"/>
        </w:rPr>
        <w:t>Thể hiện được năng lực tại nơi làm việc, có tính chuyên nghiệp, sự tự tin, có khả năng giao tiếp hiệu quả, tự chịu trách nhiệm khi ra quyết định và có nhận thức về các vấn đề văn hóa, xã hội.</w:t>
      </w:r>
    </w:p>
    <w:p w14:paraId="3002C62D" w14:textId="77777777" w:rsidR="00257345" w:rsidRDefault="00257345" w:rsidP="00257345">
      <w:pPr>
        <w:numPr>
          <w:ilvl w:val="0"/>
          <w:numId w:val="4"/>
        </w:numPr>
        <w:spacing w:after="160" w:line="259" w:lineRule="auto"/>
        <w:ind w:left="0" w:firstLine="284"/>
        <w:contextualSpacing/>
        <w:jc w:val="both"/>
        <w:rPr>
          <w:rFonts w:eastAsia="Calibri"/>
          <w:sz w:val="21"/>
          <w:szCs w:val="21"/>
          <w:lang w:val="en-US"/>
        </w:rPr>
      </w:pPr>
      <w:r>
        <w:rPr>
          <w:rFonts w:eastAsia="Calibri"/>
          <w:sz w:val="21"/>
          <w:szCs w:val="21"/>
          <w:lang w:val="en-US"/>
        </w:rPr>
        <w:t>Suy nghĩ kỹ về các quyết định, lựa chọn và hành động cá nhân tại nơi làm việc, đồng thời phải đánh giá một cách nghiêm túc về các quyết định, lựa chọn, hành động đó.</w:t>
      </w:r>
    </w:p>
    <w:p w14:paraId="7579672A"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Đối với việc đánh giá sinh viên qua phương pháp học tập tích hợp với công việc thì có một số thách thức và khó khăn trong việc đánh giá hiệu quả thành tích của sinh viên. Bản chất của việc đánh giá người học có nghĩa là cần tập trung vào kết quả học tập của sinh viên trong bối cảnh làm việc thực tế. Việc này có một trở ngại đó là vị trí của người học diễn ra ở khoảng cách xa với người đánh giá, và thường thì dễ dàng đánh giá sản phẩm công việc của người học hơn là quá trình họ tham gia vào các nhiệm vụ đã được phân công. Cũng nên xem xét thực tế là mỗi sinh viên đăng ký module này sẽ có khả năng hoàn thành một loạt nhiệm vụ duy nhất tại nơi làm việc và được đánh giá bởi nhiều người đánh giá khác nhau tại nơi làm việc đó. Điều quan trọng là xây dựng, thiết kế một khung đánh giá phục vụ cho các nhiệm vụ công việc duy nhất đó nhưng cho phép kiểm duyệt thành tích của sinh viên. Điều này đòi hỏi các giảng viên phải thiết kế một khung đánh giá được chuẩn hóa và xây dựng cẩn thận, với các hướng dẫn chấm điểm rõ ràng có chứa cả tiêu chí và mức độ hoàn thành cụ thể.</w:t>
      </w:r>
    </w:p>
    <w:p w14:paraId="4D77A6A6" w14:textId="77777777" w:rsidR="00257345" w:rsidRDefault="00257345" w:rsidP="00257345">
      <w:pPr>
        <w:widowControl/>
        <w:autoSpaceDE/>
        <w:autoSpaceDN/>
        <w:spacing w:after="160" w:line="259" w:lineRule="auto"/>
        <w:ind w:firstLine="284"/>
        <w:jc w:val="both"/>
        <w:rPr>
          <w:rFonts w:eastAsia="Calibri"/>
          <w:b/>
          <w:sz w:val="21"/>
          <w:szCs w:val="21"/>
          <w:lang w:val="en-US"/>
        </w:rPr>
      </w:pPr>
      <w:r>
        <w:rPr>
          <w:rFonts w:eastAsia="Calibri"/>
          <w:b/>
          <w:sz w:val="21"/>
          <w:szCs w:val="21"/>
          <w:lang w:val="en-US"/>
        </w:rPr>
        <w:t>3. Kết luận</w:t>
      </w:r>
    </w:p>
    <w:p w14:paraId="024119D5"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Khi cách mạng công nghiệp 4.0 đang diễn tiến, thay đổi mọi mặt cuộc sống và giáo dục thì người giảng viên cũng không thể đứng ngoài thách thức đó. Người thầy có thái độ đúng phải là chủ động, hào hứng đón nhận như một cơ hội đồng thời cũng là thách thức phải vượt qua. Người thầy xác định vấn đề cần quan tâm đặc biệt là đối tượng người học ngày nay rất khác trước, với động cơ tình cảm và sự quan tâm rộng hơn về cả không gian và thời gian. Nếu trước đây học để tham gia một vài lĩnh vực thì ngày nay, người học quan tâm đến rất nhiều lĩnh vực nếu không nói là tất cả để có thể giúp họ tồn tại trong xã hội thay đổi, nhiều biến động.</w:t>
      </w:r>
    </w:p>
    <w:p w14:paraId="1688A698"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Việc học tập là một công việc suốt đời và luôn thay đổi khi thế giới thay đổi, đặc biệt là đối với lĩnh vực kỹ thuật đều có những sự phát triển và biến đổi mạnh mẽ trong thời đại Cách mạng công nghiệp 4.0, đòi hỏi người giảng viên dạy nghề cũng cần có những điều chỉnh về mọi mặt cho phù hợp cũng như đảm bảo việc giảng dạy có hiệu quả. Thông qua bài báo tác giả muốn đưa ra những gợi ý về các phương pháp giảng dạy dựa trên năng lực của sinh viên nhằm mục đích nâng cao chất lượng dạy và học tại các cơ sở giáo dục trong nước ta hiện nay. Có rất nhiều phương pháp khác nhau để giảng viên có thể đạt được mục tiêu giảng dạy của mình, mỗi phương pháp đó lại có những ưu và nhược điểm riêng, phù hợp với từng đối tượng người học riêng, nhưng lựa chọn phương pháp nào và làm sao để sinh viên có thể phát huy được các khả năng tiềm ẩn của mình để có thể tồn tại và thành công trong xã hội hiện đại ngày nay thì đó mới chính là thành công của người thầy.</w:t>
      </w:r>
    </w:p>
    <w:p w14:paraId="136BE120" w14:textId="77777777" w:rsidR="00257345" w:rsidRDefault="00257345" w:rsidP="00257345">
      <w:pPr>
        <w:widowControl/>
        <w:autoSpaceDE/>
        <w:autoSpaceDN/>
        <w:spacing w:after="160" w:line="259" w:lineRule="auto"/>
        <w:ind w:firstLine="284"/>
        <w:jc w:val="center"/>
        <w:rPr>
          <w:rFonts w:eastAsia="Calibri"/>
          <w:b/>
          <w:sz w:val="24"/>
          <w:szCs w:val="24"/>
          <w:lang w:val="en-US"/>
        </w:rPr>
      </w:pPr>
      <w:r>
        <w:rPr>
          <w:rFonts w:eastAsia="Calibri"/>
          <w:b/>
          <w:sz w:val="24"/>
          <w:szCs w:val="24"/>
          <w:lang w:val="en-US"/>
        </w:rPr>
        <w:t>TÀI LIỆU THAM KHẢO</w:t>
      </w:r>
    </w:p>
    <w:p w14:paraId="2CA8532E"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 xml:space="preserve">1. Levine, E. &amp; Patrick, S. (2019), </w:t>
      </w:r>
      <w:r>
        <w:rPr>
          <w:rFonts w:eastAsia="Calibri"/>
          <w:i/>
          <w:sz w:val="21"/>
          <w:szCs w:val="21"/>
          <w:lang w:val="en-US"/>
        </w:rPr>
        <w:t>What is competency-based education? An updated definition</w:t>
      </w:r>
      <w:r>
        <w:rPr>
          <w:rFonts w:eastAsia="Calibri"/>
          <w:sz w:val="21"/>
          <w:szCs w:val="21"/>
          <w:lang w:val="en-US"/>
        </w:rPr>
        <w:t>, Vienna, VA: Aurora Institute.</w:t>
      </w:r>
    </w:p>
    <w:p w14:paraId="508BDB49" w14:textId="77777777" w:rsidR="00257345" w:rsidRDefault="00257345" w:rsidP="00257345">
      <w:pPr>
        <w:widowControl/>
        <w:autoSpaceDE/>
        <w:autoSpaceDN/>
        <w:spacing w:after="160" w:line="259" w:lineRule="auto"/>
        <w:ind w:firstLine="284"/>
        <w:jc w:val="both"/>
        <w:rPr>
          <w:rFonts w:eastAsia="Calibri"/>
          <w:bCs/>
          <w:sz w:val="21"/>
          <w:szCs w:val="21"/>
          <w:lang w:val="en-IE"/>
        </w:rPr>
      </w:pPr>
      <w:r>
        <w:rPr>
          <w:rFonts w:eastAsia="Calibri"/>
          <w:sz w:val="21"/>
          <w:szCs w:val="21"/>
          <w:lang w:val="en-US"/>
        </w:rPr>
        <w:tab/>
        <w:t xml:space="preserve">2. Neil O’Sullivan và Alan Burce, (2014),  </w:t>
      </w:r>
      <w:r>
        <w:rPr>
          <w:rFonts w:eastAsia="Calibri"/>
          <w:bCs/>
          <w:i/>
          <w:sz w:val="21"/>
          <w:szCs w:val="21"/>
          <w:lang w:val="en-IE"/>
        </w:rPr>
        <w:t>Teaching and Learning in Competency-Based Education</w:t>
      </w:r>
      <w:r>
        <w:rPr>
          <w:rFonts w:eastAsia="Calibri"/>
          <w:bCs/>
          <w:sz w:val="21"/>
          <w:szCs w:val="21"/>
          <w:lang w:val="en-IE"/>
        </w:rPr>
        <w:t>, The Fifth International Conference on e-Learning (eLearning-2014), 22-23 September 2014, Belgrade, Serbia.</w:t>
      </w:r>
    </w:p>
    <w:p w14:paraId="2068559D"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 xml:space="preserve">3. Terry Lucke, Lyn Brodie và Ian Brodie (2016), </w:t>
      </w:r>
      <w:r>
        <w:rPr>
          <w:rFonts w:eastAsia="Calibri"/>
          <w:i/>
          <w:sz w:val="21"/>
          <w:szCs w:val="21"/>
          <w:lang w:val="en-US"/>
        </w:rPr>
        <w:t>It is Posible to Adapt CDIO for Distance and Online Education,</w:t>
      </w:r>
      <w:r>
        <w:rPr>
          <w:rFonts w:eastAsia="Calibri"/>
          <w:sz w:val="21"/>
          <w:szCs w:val="21"/>
          <w:lang w:val="en-US"/>
        </w:rPr>
        <w:t xml:space="preserve"> The 12th</w:t>
      </w:r>
      <w:r>
        <w:rPr>
          <w:rFonts w:eastAsia="Calibri"/>
          <w:i/>
          <w:sz w:val="21"/>
          <w:szCs w:val="21"/>
          <w:lang w:val="en-US"/>
        </w:rPr>
        <w:t xml:space="preserve"> </w:t>
      </w:r>
      <w:r>
        <w:rPr>
          <w:rFonts w:eastAsia="Calibri"/>
          <w:sz w:val="21"/>
          <w:szCs w:val="21"/>
          <w:lang w:val="en-US"/>
        </w:rPr>
        <w:t xml:space="preserve">International CDIO Conference, Turku University of Applied SciencesTurku, Finland. </w:t>
      </w:r>
    </w:p>
    <w:p w14:paraId="5DA9368F" w14:textId="77777777" w:rsidR="00257345" w:rsidRDefault="00257345" w:rsidP="00257345">
      <w:pPr>
        <w:widowControl/>
        <w:autoSpaceDE/>
        <w:autoSpaceDN/>
        <w:spacing w:after="160" w:line="259" w:lineRule="auto"/>
        <w:ind w:firstLine="284"/>
        <w:jc w:val="both"/>
        <w:rPr>
          <w:rFonts w:eastAsia="Calibri"/>
          <w:i/>
          <w:sz w:val="21"/>
          <w:szCs w:val="21"/>
          <w:lang w:val="en-US"/>
        </w:rPr>
      </w:pPr>
      <w:r>
        <w:rPr>
          <w:rFonts w:eastAsia="Calibri"/>
          <w:sz w:val="21"/>
          <w:szCs w:val="21"/>
          <w:lang w:val="en-US"/>
        </w:rPr>
        <w:lastRenderedPageBreak/>
        <w:tab/>
        <w:t xml:space="preserve">4. Richard Voorhees (2001), </w:t>
      </w:r>
      <w:r>
        <w:rPr>
          <w:rFonts w:eastAsia="Calibri"/>
          <w:i/>
          <w:sz w:val="21"/>
          <w:szCs w:val="21"/>
          <w:lang w:val="en-US"/>
        </w:rPr>
        <w:t>Competency‐Based Learning Models: A Necessary Future</w:t>
      </w:r>
      <w:r>
        <w:rPr>
          <w:rFonts w:eastAsia="Calibri"/>
          <w:sz w:val="21"/>
          <w:szCs w:val="21"/>
          <w:lang w:val="en-US"/>
        </w:rPr>
        <w:t>, New Directions for Institutional Research, DOI: 10.1002/ir.7.</w:t>
      </w:r>
    </w:p>
    <w:p w14:paraId="3F9EF393"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 xml:space="preserve">5. Ville Taajamaa, Mona Eskandari, Barbara A. Karanian và Antti Airola (2016), </w:t>
      </w:r>
      <w:r>
        <w:rPr>
          <w:rFonts w:eastAsia="Calibri"/>
          <w:i/>
          <w:sz w:val="21"/>
          <w:szCs w:val="21"/>
          <w:lang w:val="en-US"/>
        </w:rPr>
        <w:t>O-CDIO: Emphasizing Design Thinking in CDIO Engineering Cycle*</w:t>
      </w:r>
      <w:r>
        <w:rPr>
          <w:rFonts w:eastAsia="Calibri"/>
          <w:sz w:val="21"/>
          <w:szCs w:val="21"/>
          <w:lang w:val="en-US"/>
        </w:rPr>
        <w:t>, International Journal of Engineering Education Vol. 32, No. 3(B), pp. 1530–1539.</w:t>
      </w:r>
    </w:p>
    <w:p w14:paraId="4FF33042" w14:textId="77777777" w:rsidR="00257345" w:rsidRDefault="00257345" w:rsidP="00257345">
      <w:pPr>
        <w:widowControl/>
        <w:autoSpaceDE/>
        <w:autoSpaceDN/>
        <w:spacing w:after="160" w:line="259" w:lineRule="auto"/>
        <w:ind w:firstLine="284"/>
        <w:jc w:val="both"/>
        <w:rPr>
          <w:rFonts w:eastAsia="Calibri"/>
          <w:bCs/>
          <w:sz w:val="21"/>
          <w:szCs w:val="21"/>
          <w:lang w:val="en-IE"/>
        </w:rPr>
      </w:pPr>
      <w:r>
        <w:rPr>
          <w:rFonts w:eastAsia="Calibri"/>
          <w:bCs/>
          <w:sz w:val="21"/>
          <w:szCs w:val="21"/>
          <w:lang w:val="en-IE"/>
        </w:rPr>
        <w:tab/>
        <w:t xml:space="preserve">6. Đề xướng CDIO (n.d.), Truy xuất từ </w:t>
      </w:r>
      <w:hyperlink r:id="rId7" w:history="1">
        <w:r>
          <w:rPr>
            <w:rFonts w:eastAsia="Calibri"/>
            <w:bCs/>
            <w:color w:val="0563C1"/>
            <w:sz w:val="21"/>
            <w:szCs w:val="21"/>
            <w:u w:val="single"/>
            <w:lang w:val="en-IE"/>
          </w:rPr>
          <w:t>https://vi.wikipedia.org/wiki/CDIO</w:t>
        </w:r>
      </w:hyperlink>
      <w:r>
        <w:rPr>
          <w:rFonts w:eastAsia="Calibri"/>
          <w:bCs/>
          <w:sz w:val="21"/>
          <w:szCs w:val="21"/>
          <w:lang w:val="en-IE"/>
        </w:rPr>
        <w:t>.</w:t>
      </w:r>
    </w:p>
    <w:p w14:paraId="3F8F365C" w14:textId="77777777" w:rsidR="00257345" w:rsidRDefault="00257345" w:rsidP="00257345">
      <w:pPr>
        <w:widowControl/>
        <w:autoSpaceDE/>
        <w:autoSpaceDN/>
        <w:spacing w:after="160" w:line="259" w:lineRule="auto"/>
        <w:ind w:firstLine="284"/>
        <w:jc w:val="both"/>
        <w:rPr>
          <w:rFonts w:eastAsia="Calibri"/>
          <w:sz w:val="21"/>
          <w:szCs w:val="21"/>
          <w:lang w:val="en-US"/>
        </w:rPr>
      </w:pPr>
      <w:r>
        <w:rPr>
          <w:rFonts w:eastAsia="Calibri"/>
          <w:sz w:val="21"/>
          <w:szCs w:val="21"/>
          <w:lang w:val="en-US"/>
        </w:rPr>
        <w:tab/>
        <w:t>7. Work Intergrated Education (n.d.), Truy xuất từ https://www.polyu.edu.hk/itc/en/student-support/internship/work-integrated-education-wie/</w:t>
      </w:r>
    </w:p>
    <w:p w14:paraId="7D5A86DB" w14:textId="74252DDA" w:rsidR="00427140" w:rsidRDefault="00257345" w:rsidP="00257345">
      <w:r>
        <w:rPr>
          <w:rFonts w:eastAsia="Calibri"/>
          <w:sz w:val="21"/>
          <w:szCs w:val="21"/>
          <w:lang w:val="en-US"/>
        </w:rPr>
        <w:tab/>
        <w:t xml:space="preserve">8. Work Intergrated Learning (n.d.), Truy xuất từ </w:t>
      </w:r>
      <w:hyperlink r:id="rId8" w:history="1">
        <w:r>
          <w:rPr>
            <w:rFonts w:eastAsia="Calibri"/>
            <w:color w:val="0563C1"/>
            <w:sz w:val="21"/>
            <w:szCs w:val="21"/>
            <w:u w:val="single"/>
            <w:lang w:val="en-US"/>
          </w:rPr>
          <w:t>https://www.murdoch.edu.au/Work-Integrated-Learning/</w:t>
        </w:r>
      </w:hyperlink>
    </w:p>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6814"/>
    <w:multiLevelType w:val="multilevel"/>
    <w:tmpl w:val="092E681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Symbol" w:hAnsi="Symbol"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18814B9A"/>
    <w:multiLevelType w:val="multilevel"/>
    <w:tmpl w:val="18814B9A"/>
    <w:lvl w:ilvl="0">
      <w:start w:val="1"/>
      <w:numFmt w:val="bullet"/>
      <w:lvlText w:val=""/>
      <w:lvlJc w:val="left"/>
      <w:pPr>
        <w:ind w:left="1515" w:hanging="360"/>
      </w:pPr>
      <w:rPr>
        <w:rFonts w:ascii="Symbol" w:hAnsi="Symbol" w:hint="default"/>
      </w:rPr>
    </w:lvl>
    <w:lvl w:ilvl="1">
      <w:start w:val="1"/>
      <w:numFmt w:val="bullet"/>
      <w:lvlText w:val="o"/>
      <w:lvlJc w:val="left"/>
      <w:pPr>
        <w:ind w:left="2235" w:hanging="360"/>
      </w:pPr>
      <w:rPr>
        <w:rFonts w:ascii="Courier New" w:hAnsi="Courier New" w:cs="Courier New" w:hint="default"/>
      </w:rPr>
    </w:lvl>
    <w:lvl w:ilvl="2">
      <w:start w:val="1"/>
      <w:numFmt w:val="bullet"/>
      <w:lvlText w:val=""/>
      <w:lvlJc w:val="left"/>
      <w:pPr>
        <w:ind w:left="2955" w:hanging="360"/>
      </w:pPr>
      <w:rPr>
        <w:rFonts w:ascii="Wingdings" w:hAnsi="Wingdings" w:hint="default"/>
      </w:rPr>
    </w:lvl>
    <w:lvl w:ilvl="3">
      <w:start w:val="1"/>
      <w:numFmt w:val="bullet"/>
      <w:lvlText w:val=""/>
      <w:lvlJc w:val="left"/>
      <w:pPr>
        <w:ind w:left="3675" w:hanging="360"/>
      </w:pPr>
      <w:rPr>
        <w:rFonts w:ascii="Symbol" w:hAnsi="Symbol" w:hint="default"/>
      </w:rPr>
    </w:lvl>
    <w:lvl w:ilvl="4">
      <w:start w:val="1"/>
      <w:numFmt w:val="bullet"/>
      <w:lvlText w:val="o"/>
      <w:lvlJc w:val="left"/>
      <w:pPr>
        <w:ind w:left="4395" w:hanging="360"/>
      </w:pPr>
      <w:rPr>
        <w:rFonts w:ascii="Courier New" w:hAnsi="Courier New" w:cs="Courier New" w:hint="default"/>
      </w:rPr>
    </w:lvl>
    <w:lvl w:ilvl="5">
      <w:start w:val="1"/>
      <w:numFmt w:val="bullet"/>
      <w:lvlText w:val=""/>
      <w:lvlJc w:val="left"/>
      <w:pPr>
        <w:ind w:left="5115" w:hanging="360"/>
      </w:pPr>
      <w:rPr>
        <w:rFonts w:ascii="Wingdings" w:hAnsi="Wingdings" w:hint="default"/>
      </w:rPr>
    </w:lvl>
    <w:lvl w:ilvl="6">
      <w:start w:val="1"/>
      <w:numFmt w:val="bullet"/>
      <w:lvlText w:val=""/>
      <w:lvlJc w:val="left"/>
      <w:pPr>
        <w:ind w:left="5835" w:hanging="360"/>
      </w:pPr>
      <w:rPr>
        <w:rFonts w:ascii="Symbol" w:hAnsi="Symbol" w:hint="default"/>
      </w:rPr>
    </w:lvl>
    <w:lvl w:ilvl="7">
      <w:start w:val="1"/>
      <w:numFmt w:val="bullet"/>
      <w:lvlText w:val="o"/>
      <w:lvlJc w:val="left"/>
      <w:pPr>
        <w:ind w:left="6555" w:hanging="360"/>
      </w:pPr>
      <w:rPr>
        <w:rFonts w:ascii="Courier New" w:hAnsi="Courier New" w:cs="Courier New" w:hint="default"/>
      </w:rPr>
    </w:lvl>
    <w:lvl w:ilvl="8">
      <w:start w:val="1"/>
      <w:numFmt w:val="bullet"/>
      <w:lvlText w:val=""/>
      <w:lvlJc w:val="left"/>
      <w:pPr>
        <w:ind w:left="7275" w:hanging="360"/>
      </w:pPr>
      <w:rPr>
        <w:rFonts w:ascii="Wingdings" w:hAnsi="Wingdings" w:hint="default"/>
      </w:rPr>
    </w:lvl>
  </w:abstractNum>
  <w:abstractNum w:abstractNumId="2" w15:restartNumberingAfterBreak="0">
    <w:nsid w:val="76492896"/>
    <w:multiLevelType w:val="multilevel"/>
    <w:tmpl w:val="76492896"/>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Symbol" w:hAnsi="Symbol"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7A567FAC"/>
    <w:multiLevelType w:val="multilevel"/>
    <w:tmpl w:val="7A567FAC"/>
    <w:lvl w:ilvl="0">
      <w:start w:val="1"/>
      <w:numFmt w:val="bullet"/>
      <w:lvlText w:val=""/>
      <w:lvlJc w:val="left"/>
      <w:pPr>
        <w:ind w:left="1515" w:hanging="360"/>
      </w:pPr>
      <w:rPr>
        <w:rFonts w:ascii="Symbol" w:hAnsi="Symbol" w:hint="default"/>
      </w:rPr>
    </w:lvl>
    <w:lvl w:ilvl="1">
      <w:start w:val="1"/>
      <w:numFmt w:val="bullet"/>
      <w:lvlText w:val=""/>
      <w:lvlJc w:val="left"/>
      <w:pPr>
        <w:ind w:left="2235" w:hanging="360"/>
      </w:pPr>
      <w:rPr>
        <w:rFonts w:ascii="Symbol" w:hAnsi="Symbol" w:hint="default"/>
      </w:rPr>
    </w:lvl>
    <w:lvl w:ilvl="2">
      <w:numFmt w:val="bullet"/>
      <w:lvlText w:val="-"/>
      <w:lvlJc w:val="left"/>
      <w:pPr>
        <w:ind w:left="2955" w:hanging="360"/>
      </w:pPr>
      <w:rPr>
        <w:rFonts w:ascii="Times New Roman" w:eastAsia="Calibri" w:hAnsi="Times New Roman" w:cs="Times New Roman" w:hint="default"/>
      </w:rPr>
    </w:lvl>
    <w:lvl w:ilvl="3">
      <w:start w:val="1"/>
      <w:numFmt w:val="bullet"/>
      <w:lvlText w:val=""/>
      <w:lvlJc w:val="left"/>
      <w:pPr>
        <w:ind w:left="3675" w:hanging="360"/>
      </w:pPr>
      <w:rPr>
        <w:rFonts w:ascii="Symbol" w:hAnsi="Symbol" w:hint="default"/>
      </w:rPr>
    </w:lvl>
    <w:lvl w:ilvl="4">
      <w:start w:val="1"/>
      <w:numFmt w:val="bullet"/>
      <w:lvlText w:val="o"/>
      <w:lvlJc w:val="left"/>
      <w:pPr>
        <w:ind w:left="4395" w:hanging="360"/>
      </w:pPr>
      <w:rPr>
        <w:rFonts w:ascii="Courier New" w:hAnsi="Courier New" w:cs="Courier New" w:hint="default"/>
      </w:rPr>
    </w:lvl>
    <w:lvl w:ilvl="5">
      <w:start w:val="1"/>
      <w:numFmt w:val="bullet"/>
      <w:lvlText w:val=""/>
      <w:lvlJc w:val="left"/>
      <w:pPr>
        <w:ind w:left="5115" w:hanging="360"/>
      </w:pPr>
      <w:rPr>
        <w:rFonts w:ascii="Wingdings" w:hAnsi="Wingdings" w:hint="default"/>
      </w:rPr>
    </w:lvl>
    <w:lvl w:ilvl="6">
      <w:start w:val="1"/>
      <w:numFmt w:val="bullet"/>
      <w:lvlText w:val=""/>
      <w:lvlJc w:val="left"/>
      <w:pPr>
        <w:ind w:left="5835" w:hanging="360"/>
      </w:pPr>
      <w:rPr>
        <w:rFonts w:ascii="Symbol" w:hAnsi="Symbol" w:hint="default"/>
      </w:rPr>
    </w:lvl>
    <w:lvl w:ilvl="7">
      <w:start w:val="1"/>
      <w:numFmt w:val="bullet"/>
      <w:lvlText w:val="o"/>
      <w:lvlJc w:val="left"/>
      <w:pPr>
        <w:ind w:left="6555" w:hanging="360"/>
      </w:pPr>
      <w:rPr>
        <w:rFonts w:ascii="Courier New" w:hAnsi="Courier New" w:cs="Courier New" w:hint="default"/>
      </w:rPr>
    </w:lvl>
    <w:lvl w:ilvl="8">
      <w:start w:val="1"/>
      <w:numFmt w:val="bullet"/>
      <w:lvlText w:val=""/>
      <w:lvlJc w:val="left"/>
      <w:pPr>
        <w:ind w:left="7275"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345"/>
    <w:rsid w:val="00257345"/>
    <w:rsid w:val="00427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E2550"/>
  <w15:chartTrackingRefBased/>
  <w15:docId w15:val="{B2AF4AB4-D5AE-4A4A-BD48-CBF966E4A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345"/>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257345"/>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57345"/>
    <w:rPr>
      <w:rFonts w:ascii="Times New Roman" w:eastAsia="Times New Roman" w:hAnsi="Times New Roman" w:cs="Times New Roman"/>
      <w:b/>
      <w:bCs/>
      <w:sz w:val="21"/>
      <w:szCs w:val="21"/>
      <w:lang w:val="vi"/>
    </w:rPr>
  </w:style>
  <w:style w:type="table" w:styleId="TableGrid">
    <w:name w:val="Table Grid"/>
    <w:basedOn w:val="TableNormal"/>
    <w:uiPriority w:val="39"/>
    <w:qFormat/>
    <w:rsid w:val="00257345"/>
    <w:pPr>
      <w:spacing w:after="0" w:line="240" w:lineRule="auto"/>
    </w:pPr>
    <w:rPr>
      <w:rFonts w:asciiTheme="minorHAnsi"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rdoch.edu.au/Work-Integrated-Learning/" TargetMode="External"/><Relationship Id="rId3" Type="http://schemas.openxmlformats.org/officeDocument/2006/relationships/settings" Target="settings.xml"/><Relationship Id="rId7" Type="http://schemas.openxmlformats.org/officeDocument/2006/relationships/hyperlink" Target="https://vi.wikipedia.org/wiki/CDI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3398</Words>
  <Characters>19374</Characters>
  <Application>Microsoft Office Word</Application>
  <DocSecurity>0</DocSecurity>
  <Lines>161</Lines>
  <Paragraphs>45</Paragraphs>
  <ScaleCrop>false</ScaleCrop>
  <Company/>
  <LinksUpToDate>false</LinksUpToDate>
  <CharactersWithSpaces>22727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2021-08-01T07:23:00Z</dcterms:created>
  <dcterms:modified xsi:type="dcterms:W3CDTF">2021-08-01T07:24:00Z</dcterms:modified>
</cp:coreProperties>
</file>